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09" w:rsidRDefault="005B1F09" w:rsidP="005B1F09">
      <w:pPr>
        <w:widowControl/>
        <w:spacing w:line="578" w:lineRule="atLeast"/>
        <w:jc w:val="center"/>
        <w:rPr>
          <w:rFonts w:ascii="仿宋_GB2312" w:hAnsi="仿宋_GB2312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spacing w:line="578" w:lineRule="atLeast"/>
        <w:jc w:val="center"/>
        <w:rPr>
          <w:rFonts w:ascii="仿宋_GB2312" w:hAnsi="仿宋_GB2312" w:cs="宋体" w:hint="eastAsia"/>
          <w:b/>
          <w:bCs/>
          <w:kern w:val="0"/>
          <w:sz w:val="44"/>
          <w:szCs w:val="44"/>
        </w:rPr>
      </w:pPr>
    </w:p>
    <w:p w:rsidR="005B1F09" w:rsidRPr="003C19BC" w:rsidRDefault="005B1F09" w:rsidP="005B1F09">
      <w:pPr>
        <w:widowControl/>
        <w:spacing w:line="578" w:lineRule="atLeast"/>
        <w:jc w:val="center"/>
        <w:rPr>
          <w:rFonts w:ascii="仿宋_GB2312" w:hAnsi="仿宋_GB2312" w:cs="宋体" w:hint="eastAsia"/>
          <w:b/>
          <w:bCs/>
          <w:kern w:val="0"/>
          <w:sz w:val="44"/>
          <w:szCs w:val="44"/>
        </w:rPr>
      </w:pPr>
    </w:p>
    <w:p w:rsidR="005B1F09" w:rsidRPr="003C19BC" w:rsidRDefault="005B1F09" w:rsidP="005B1F09"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3C19BC">
        <w:rPr>
          <w:rFonts w:ascii="宋体" w:hAnsi="宋体" w:cs="宋体" w:hint="eastAsia"/>
          <w:b/>
          <w:bCs/>
          <w:kern w:val="0"/>
          <w:sz w:val="44"/>
          <w:szCs w:val="44"/>
        </w:rPr>
        <w:t>财政支出项目绩效评价报告</w:t>
      </w:r>
    </w:p>
    <w:p w:rsidR="005B1F09" w:rsidRPr="003C19BC" w:rsidRDefault="005B1F09" w:rsidP="005B1F09">
      <w:pPr>
        <w:widowControl/>
        <w:spacing w:line="578" w:lineRule="atLeast"/>
        <w:rPr>
          <w:rFonts w:ascii="仿宋_GB2312" w:hAnsi="仿宋_GB2312" w:cs="宋体" w:hint="eastAsia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Pr="003C19BC" w:rsidRDefault="005B1F09" w:rsidP="005B1F09">
      <w:pPr>
        <w:widowControl/>
        <w:spacing w:line="578" w:lineRule="atLeas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Default="005B1F09" w:rsidP="005B1F09">
      <w:pPr>
        <w:widowControl/>
        <w:spacing w:line="578" w:lineRule="atLeast"/>
        <w:rPr>
          <w:rFonts w:ascii="仿宋_GB2312" w:hAnsi="仿宋_GB2312" w:cs="宋体" w:hint="eastAsia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Default="005B1F09" w:rsidP="005B1F09">
      <w:pPr>
        <w:widowControl/>
        <w:spacing w:line="578" w:lineRule="atLeast"/>
        <w:rPr>
          <w:rFonts w:ascii="仿宋_GB2312" w:hAnsi="仿宋_GB2312" w:cs="宋体" w:hint="eastAsia"/>
          <w:kern w:val="0"/>
          <w:sz w:val="32"/>
          <w:szCs w:val="32"/>
        </w:rPr>
      </w:pPr>
    </w:p>
    <w:p w:rsidR="005B1F09" w:rsidRDefault="005B1F09" w:rsidP="005B1F09">
      <w:pPr>
        <w:widowControl/>
        <w:spacing w:line="578" w:lineRule="atLeast"/>
        <w:rPr>
          <w:rFonts w:ascii="仿宋_GB2312" w:hAnsi="仿宋_GB2312" w:cs="宋体" w:hint="eastAsia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评价类型：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实施过程评价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  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完成结果评价</w:t>
      </w:r>
    </w:p>
    <w:p w:rsidR="005B1F09" w:rsidRDefault="005B1F09" w:rsidP="005B1F09">
      <w:pPr>
        <w:widowControl/>
        <w:spacing w:line="578" w:lineRule="atLeast"/>
        <w:rPr>
          <w:rFonts w:ascii="仿宋_GB2312" w:hAnsi="仿宋_GB2312" w:cs="宋体" w:hint="eastAsia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项目名称：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综合事务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                    </w:t>
      </w:r>
    </w:p>
    <w:p w:rsidR="005B1F09" w:rsidRPr="003C19BC" w:rsidRDefault="005B1F09" w:rsidP="005B1F09">
      <w:pPr>
        <w:widowControl/>
        <w:spacing w:line="578" w:lineRule="atLeas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项目单位：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海口检察院本级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                            </w:t>
      </w:r>
    </w:p>
    <w:p w:rsidR="005B1F09" w:rsidRPr="003C19BC" w:rsidRDefault="005B1F09" w:rsidP="005B1F09">
      <w:pPr>
        <w:widowControl/>
        <w:spacing w:line="578" w:lineRule="atLeast"/>
        <w:ind w:rightChars="50" w:right="105"/>
        <w:jc w:val="lef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主管部门：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                                   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</w:t>
      </w:r>
    </w:p>
    <w:p w:rsidR="005B1F09" w:rsidRDefault="005B1F09" w:rsidP="005B1F09">
      <w:pPr>
        <w:widowControl/>
        <w:spacing w:line="578" w:lineRule="atLeast"/>
        <w:ind w:rightChars="50" w:right="105"/>
        <w:jc w:val="left"/>
        <w:rPr>
          <w:rFonts w:ascii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评价时间：</w:t>
      </w:r>
      <w:r>
        <w:rPr>
          <w:rFonts w:ascii="仿宋_GB2312" w:hAnsi="仿宋_GB2312" w:cs="宋体"/>
          <w:kern w:val="0"/>
          <w:sz w:val="32"/>
          <w:szCs w:val="32"/>
        </w:rPr>
        <w:t xml:space="preserve"> 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2017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年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1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月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 1 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日至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 2017 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年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12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月</w:t>
      </w:r>
      <w:r>
        <w:rPr>
          <w:rFonts w:ascii="仿宋_GB2312" w:hAnsi="仿宋_GB2312" w:cs="宋体"/>
          <w:kern w:val="0"/>
          <w:sz w:val="32"/>
          <w:szCs w:val="32"/>
          <w:u w:val="single"/>
        </w:rPr>
        <w:t xml:space="preserve"> 31 </w:t>
      </w:r>
      <w:r>
        <w:rPr>
          <w:rFonts w:ascii="仿宋_GB2312" w:hAnsi="仿宋_GB2312" w:cs="宋体" w:hint="eastAsia"/>
          <w:kern w:val="0"/>
          <w:sz w:val="32"/>
          <w:szCs w:val="32"/>
          <w:u w:val="single"/>
        </w:rPr>
        <w:t>日</w:t>
      </w:r>
    </w:p>
    <w:p w:rsidR="005B1F09" w:rsidRPr="003C19BC" w:rsidRDefault="005B1F09" w:rsidP="005B1F09">
      <w:pPr>
        <w:widowControl/>
        <w:spacing w:line="578" w:lineRule="atLeast"/>
        <w:ind w:rightChars="50" w:right="105"/>
        <w:jc w:val="left"/>
        <w:rPr>
          <w:rFonts w:ascii="仿宋_GB2312" w:hAnsi="仿宋_GB2312" w:cs="宋体"/>
          <w:kern w:val="0"/>
          <w:sz w:val="32"/>
          <w:szCs w:val="32"/>
          <w:u w:val="single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组织方式：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财政部门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主管部门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 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项目单位</w:t>
      </w:r>
    </w:p>
    <w:p w:rsidR="005B1F09" w:rsidRPr="003C19BC" w:rsidRDefault="005B1F09" w:rsidP="005B1F09">
      <w:pPr>
        <w:widowControl/>
        <w:spacing w:line="578" w:lineRule="atLeast"/>
        <w:ind w:rightChars="50" w:right="105"/>
        <w:jc w:val="lef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>评价机构：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中介机构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专家组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 xml:space="preserve"> </w:t>
      </w:r>
      <w:r w:rsidRPr="003C19BC">
        <w:rPr>
          <w:rFonts w:ascii="仿宋_GB2312" w:hAnsi="仿宋_GB2312" w:cs="宋体"/>
          <w:kern w:val="0"/>
          <w:sz w:val="32"/>
          <w:szCs w:val="32"/>
        </w:rPr>
        <w:t xml:space="preserve">  </w:t>
      </w:r>
      <w:r w:rsidRPr="003C19BC">
        <w:rPr>
          <w:rFonts w:ascii="仿宋_GB2312" w:hAnsi="仿宋_GB2312" w:cs="宋体"/>
          <w:spacing w:val="-20"/>
          <w:kern w:val="0"/>
          <w:sz w:val="32"/>
          <w:szCs w:val="32"/>
          <w:u w:val="single"/>
        </w:rPr>
        <w:t>□</w:t>
      </w:r>
      <w:r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3C19BC">
        <w:rPr>
          <w:rFonts w:ascii="仿宋_GB2312" w:hAnsi="仿宋_GB2312" w:cs="宋体"/>
          <w:kern w:val="0"/>
          <w:sz w:val="32"/>
          <w:szCs w:val="32"/>
          <w:u w:val="single"/>
        </w:rPr>
        <w:t>项目单位评价组</w:t>
      </w:r>
    </w:p>
    <w:p w:rsidR="005B1F09" w:rsidRPr="003C19BC" w:rsidRDefault="005B1F09" w:rsidP="005B1F09">
      <w:pPr>
        <w:widowControl/>
        <w:spacing w:line="578" w:lineRule="atLeast"/>
        <w:ind w:left="1600" w:hanging="1050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Pr="003C19BC" w:rsidRDefault="005B1F09" w:rsidP="005B1F09">
      <w:pPr>
        <w:widowControl/>
        <w:spacing w:line="578" w:lineRule="atLeas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Pr="003C19BC" w:rsidRDefault="005B1F09" w:rsidP="005B1F09">
      <w:pPr>
        <w:widowControl/>
        <w:spacing w:line="578" w:lineRule="atLeast"/>
        <w:ind w:left="1600" w:hanging="1050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         </w:t>
      </w:r>
    </w:p>
    <w:p w:rsidR="005B1F09" w:rsidRPr="003C19BC" w:rsidRDefault="005B1F09" w:rsidP="005B1F09">
      <w:pPr>
        <w:widowControl/>
        <w:spacing w:line="578" w:lineRule="atLeast"/>
        <w:ind w:left="1600" w:hanging="1050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</w:t>
      </w:r>
    </w:p>
    <w:p w:rsidR="005B1F09" w:rsidRPr="003C19BC" w:rsidRDefault="005B1F09" w:rsidP="005B1F09">
      <w:pPr>
        <w:widowControl/>
        <w:spacing w:line="578" w:lineRule="atLeast"/>
        <w:ind w:left="1600" w:hanging="1050"/>
        <w:rPr>
          <w:rFonts w:ascii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 xml:space="preserve">            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      </w:t>
      </w:r>
      <w:r w:rsidRPr="003C19BC">
        <w:rPr>
          <w:rFonts w:ascii="仿宋_GB2312" w:hAnsi="仿宋_GB2312" w:cs="宋体"/>
          <w:kern w:val="0"/>
          <w:sz w:val="32"/>
          <w:szCs w:val="32"/>
        </w:rPr>
        <w:t>评价单位（盖章）：</w:t>
      </w:r>
    </w:p>
    <w:p w:rsidR="005B1F09" w:rsidRPr="003C19BC" w:rsidRDefault="005B1F09" w:rsidP="005B1F09">
      <w:pPr>
        <w:widowControl/>
        <w:spacing w:line="578" w:lineRule="atLeast"/>
        <w:ind w:left="1600" w:hanging="1050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t xml:space="preserve">                    </w:t>
      </w:r>
      <w:r w:rsidRPr="003C19BC">
        <w:rPr>
          <w:rFonts w:ascii="仿宋_GB2312" w:hAnsi="仿宋_GB2312" w:cs="宋体"/>
          <w:kern w:val="0"/>
          <w:sz w:val="32"/>
          <w:szCs w:val="32"/>
        </w:rPr>
        <w:t>上报时间：</w:t>
      </w:r>
      <w:r>
        <w:rPr>
          <w:rFonts w:ascii="仿宋_GB2312" w:hAnsi="仿宋_GB2312" w:cs="宋体" w:hint="eastAsia"/>
          <w:kern w:val="0"/>
          <w:sz w:val="32"/>
          <w:szCs w:val="32"/>
        </w:rPr>
        <w:t>2018</w:t>
      </w:r>
      <w:r>
        <w:rPr>
          <w:rFonts w:ascii="仿宋_GB2312" w:hAnsi="仿宋_GB2312" w:cs="宋体" w:hint="eastAsia"/>
          <w:kern w:val="0"/>
          <w:sz w:val="32"/>
          <w:szCs w:val="32"/>
        </w:rPr>
        <w:t>年</w:t>
      </w:r>
      <w:r>
        <w:rPr>
          <w:rFonts w:ascii="仿宋_GB2312" w:hAnsi="仿宋_GB2312" w:cs="宋体" w:hint="eastAsia"/>
          <w:kern w:val="0"/>
          <w:sz w:val="32"/>
          <w:szCs w:val="32"/>
        </w:rPr>
        <w:t>7</w:t>
      </w:r>
      <w:r>
        <w:rPr>
          <w:rFonts w:ascii="仿宋_GB2312" w:hAnsi="仿宋_GB2312" w:cs="宋体" w:hint="eastAsia"/>
          <w:kern w:val="0"/>
          <w:sz w:val="32"/>
          <w:szCs w:val="32"/>
        </w:rPr>
        <w:t>月</w:t>
      </w:r>
      <w:r>
        <w:rPr>
          <w:rFonts w:ascii="仿宋_GB2312" w:hAnsi="仿宋_GB2312" w:cs="宋体" w:hint="eastAsia"/>
          <w:kern w:val="0"/>
          <w:sz w:val="32"/>
          <w:szCs w:val="32"/>
        </w:rPr>
        <w:t>30</w:t>
      </w:r>
      <w:r>
        <w:rPr>
          <w:rFonts w:ascii="仿宋_GB2312" w:hAnsi="仿宋_GB2312" w:cs="宋体" w:hint="eastAsia"/>
          <w:kern w:val="0"/>
          <w:sz w:val="32"/>
          <w:szCs w:val="32"/>
        </w:rPr>
        <w:t>日</w:t>
      </w:r>
    </w:p>
    <w:p w:rsidR="005B1F09" w:rsidRPr="003C19BC" w:rsidRDefault="005B1F09" w:rsidP="005B1F09">
      <w:pPr>
        <w:widowControl/>
        <w:spacing w:line="578" w:lineRule="atLeast"/>
        <w:jc w:val="left"/>
        <w:rPr>
          <w:rFonts w:ascii="仿宋_GB2312" w:hAnsi="仿宋_GB2312" w:cs="宋体"/>
          <w:kern w:val="0"/>
          <w:sz w:val="32"/>
          <w:szCs w:val="32"/>
        </w:rPr>
      </w:pPr>
      <w:r w:rsidRPr="003C19BC">
        <w:rPr>
          <w:rFonts w:ascii="仿宋_GB2312" w:hAnsi="仿宋_GB2312" w:cs="宋体"/>
          <w:kern w:val="0"/>
          <w:sz w:val="32"/>
          <w:szCs w:val="32"/>
        </w:rPr>
        <w:lastRenderedPageBreak/>
        <w:t xml:space="preserve"> </w:t>
      </w:r>
    </w:p>
    <w:p w:rsidR="005B1F09" w:rsidRPr="003C19BC" w:rsidRDefault="005B1F09" w:rsidP="005B1F09">
      <w:pPr>
        <w:widowControl/>
        <w:spacing w:line="578" w:lineRule="atLeast"/>
        <w:jc w:val="left"/>
        <w:rPr>
          <w:rFonts w:ascii="仿宋_GB2312" w:hAnsi="仿宋_GB2312" w:cs="宋体" w:hint="eastAsia"/>
          <w:b/>
          <w:bCs/>
          <w:kern w:val="0"/>
          <w:sz w:val="32"/>
          <w:szCs w:val="32"/>
        </w:rPr>
      </w:pPr>
    </w:p>
    <w:p w:rsidR="005B1F09" w:rsidRPr="003C19BC" w:rsidRDefault="005B1F09" w:rsidP="005B1F09">
      <w:pPr>
        <w:widowControl/>
        <w:spacing w:line="578" w:lineRule="atLeast"/>
        <w:ind w:firstLine="420"/>
        <w:jc w:val="center"/>
        <w:rPr>
          <w:rFonts w:ascii="黑体" w:eastAsia="黑体" w:hAnsi="黑体" w:cs="Calibri"/>
          <w:b/>
          <w:bCs/>
          <w:kern w:val="0"/>
          <w:sz w:val="44"/>
          <w:szCs w:val="44"/>
        </w:rPr>
      </w:pPr>
      <w:r w:rsidRPr="003C19BC">
        <w:rPr>
          <w:rFonts w:ascii="黑体" w:eastAsia="黑体" w:hAnsi="黑体" w:cs="Calibri" w:hint="eastAsia"/>
          <w:b/>
          <w:bCs/>
          <w:kern w:val="0"/>
          <w:sz w:val="44"/>
          <w:szCs w:val="44"/>
        </w:rPr>
        <w:t>项目绩效目标表</w:t>
      </w:r>
    </w:p>
    <w:p w:rsidR="005B1F09" w:rsidRPr="00DE571D" w:rsidRDefault="005B1F09" w:rsidP="005B1F09">
      <w:pPr>
        <w:widowControl/>
        <w:spacing w:line="578" w:lineRule="atLeast"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 w:rsidRPr="003C19BC">
        <w:rPr>
          <w:rFonts w:ascii="宋体" w:hAnsi="宋体" w:cs="宋体" w:hint="eastAsia"/>
          <w:b/>
          <w:bCs/>
          <w:kern w:val="0"/>
          <w:sz w:val="24"/>
          <w:szCs w:val="24"/>
        </w:rPr>
        <w:t>项目名称：</w:t>
      </w:r>
      <w:r>
        <w:rPr>
          <w:rFonts w:ascii="仿宋_GB2312" w:hAnsi="仿宋_GB2312" w:cs="宋体" w:hint="eastAsia"/>
          <w:kern w:val="0"/>
          <w:sz w:val="32"/>
          <w:szCs w:val="32"/>
        </w:rPr>
        <w:t>综合事务</w:t>
      </w:r>
    </w:p>
    <w:tbl>
      <w:tblPr>
        <w:tblW w:w="7280" w:type="dxa"/>
        <w:tblInd w:w="98" w:type="dxa"/>
        <w:tblLook w:val="04A0"/>
      </w:tblPr>
      <w:tblGrid>
        <w:gridCol w:w="1040"/>
        <w:gridCol w:w="1040"/>
        <w:gridCol w:w="1040"/>
        <w:gridCol w:w="1040"/>
        <w:gridCol w:w="1040"/>
        <w:gridCol w:w="1040"/>
        <w:gridCol w:w="1040"/>
      </w:tblGrid>
      <w:tr w:rsidR="005B1F09" w:rsidRPr="00C4433C" w:rsidTr="0023492D">
        <w:trPr>
          <w:trHeight w:val="6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指标类型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指标名称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绩效目标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绩效标准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差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指标1：省内检察业务学习人数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达到计划培训人数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2000人以上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1500人－1990人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1001人－1499人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1000人以下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指标2：赴外省检察业务学习人数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达到计划培训人数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20人以上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15人－19人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11人－14人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10人以下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指标3：法律用品印制量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2500本以上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2500本以上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2001本－2199本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1501本－2000本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1500本以下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指标4：保密密码项目建设及维护量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120台次以上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120次以上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90台次－119台次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51台次－89台次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50台以下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指标5：检务监督量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30次以上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30次以上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20次－29次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11次－19次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10次以下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F09" w:rsidRPr="00C4433C" w:rsidRDefault="005B1F09" w:rsidP="0023492D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kern w:val="0"/>
                <w:sz w:val="16"/>
                <w:szCs w:val="16"/>
              </w:rPr>
              <w:t>成效指标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检察业务培训人均成本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组织全省检察机关人员参加业务培训成本控制在预算范围内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不超预算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超1－10%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超11－19%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超20%以下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指标1：密码设备及信息传递成效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通过加强密码设备及信息传递的管理，保障了涉密信息及设备的安全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90%—100%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80%－89%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61%—79%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60%以下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指标2：密码设备信息</w:t>
            </w: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传递安全率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  密码设备及信息传递</w:t>
            </w: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安全率达到100%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  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90%－99%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80%－89%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80%以下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指标3：培训目标达标率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95%以上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95%以上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91%—94%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81%—90%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80% 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指标4：保密项目建设水平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符合高检院保密办建设标准，确保涉密密信息系统安全保密成效达到90%以上。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90%－100%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80%－89%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61%－79%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60%以下</w:t>
            </w:r>
          </w:p>
        </w:tc>
      </w:tr>
      <w:tr w:rsidR="005B1F09" w:rsidRPr="00C4433C" w:rsidTr="0023492D">
        <w:trPr>
          <w:trHeight w:val="6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指标5：检查业务培训人员参加培训人数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检察业务人员参加培训人数比上年明显提高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提高5%以上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提高3%－4%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提高1%－2%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F09" w:rsidRPr="00C4433C" w:rsidRDefault="005B1F09" w:rsidP="0023492D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4433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没有提高</w:t>
            </w:r>
          </w:p>
        </w:tc>
      </w:tr>
    </w:tbl>
    <w:p w:rsidR="005B1F09" w:rsidRPr="003C19BC" w:rsidRDefault="005B1F09" w:rsidP="005B1F09">
      <w:pPr>
        <w:widowControl/>
        <w:spacing w:line="578" w:lineRule="atLeast"/>
        <w:ind w:left="960" w:hanging="960"/>
        <w:jc w:val="left"/>
        <w:rPr>
          <w:rFonts w:ascii="宋体" w:hAnsi="宋体" w:cs="Calibri"/>
          <w:kern w:val="0"/>
          <w:sz w:val="24"/>
          <w:szCs w:val="24"/>
        </w:rPr>
      </w:pPr>
    </w:p>
    <w:p w:rsidR="005B1F09" w:rsidRPr="003C19BC" w:rsidRDefault="005B1F09" w:rsidP="005B1F09">
      <w:pPr>
        <w:widowControl/>
        <w:spacing w:line="578" w:lineRule="atLeast"/>
        <w:ind w:left="960" w:hanging="960"/>
        <w:jc w:val="left"/>
        <w:rPr>
          <w:rFonts w:ascii="宋体" w:hAnsi="宋体" w:cs="Calibri" w:hint="eastAsia"/>
          <w:kern w:val="0"/>
          <w:sz w:val="24"/>
          <w:szCs w:val="24"/>
        </w:rPr>
      </w:pPr>
      <w:r w:rsidRPr="003C19BC">
        <w:rPr>
          <w:rFonts w:ascii="宋体" w:hAnsi="宋体" w:cs="Calibri" w:hint="eastAsia"/>
          <w:kern w:val="0"/>
          <w:sz w:val="24"/>
          <w:szCs w:val="24"/>
        </w:rPr>
        <w:t xml:space="preserve">   注：以预算批复的绩效目标为准填列。</w:t>
      </w: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ab/>
      </w: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left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5B1F09" w:rsidRPr="003C19BC" w:rsidRDefault="005B1F09" w:rsidP="005B1F09">
      <w:pPr>
        <w:widowControl/>
        <w:tabs>
          <w:tab w:val="left" w:pos="2150"/>
          <w:tab w:val="center" w:pos="4153"/>
        </w:tabs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3C19BC">
        <w:rPr>
          <w:rFonts w:ascii="宋体" w:hAnsi="宋体" w:cs="宋体" w:hint="eastAsia"/>
          <w:b/>
          <w:bCs/>
          <w:kern w:val="0"/>
          <w:sz w:val="44"/>
          <w:szCs w:val="44"/>
        </w:rPr>
        <w:t>项目基本信息表</w:t>
      </w:r>
    </w:p>
    <w:p w:rsidR="005B1F09" w:rsidRPr="003C19BC" w:rsidRDefault="005B1F09" w:rsidP="005B1F09">
      <w:pPr>
        <w:widowControl/>
        <w:spacing w:line="300" w:lineRule="atLeast"/>
        <w:jc w:val="center"/>
        <w:rPr>
          <w:rFonts w:ascii="仿宋_GB2312" w:hAnsi="仿宋_GB2312" w:cs="宋体" w:hint="eastAsia"/>
          <w:b/>
          <w:bCs/>
          <w:kern w:val="0"/>
          <w:sz w:val="44"/>
          <w:szCs w:val="44"/>
        </w:rPr>
      </w:pPr>
      <w:r w:rsidRPr="003C19BC">
        <w:rPr>
          <w:rFonts w:ascii="仿宋_GB2312" w:hAnsi="仿宋_GB2312" w:cs="宋体"/>
          <w:b/>
          <w:bCs/>
          <w:kern w:val="0"/>
          <w:sz w:val="44"/>
          <w:szCs w:val="44"/>
        </w:rPr>
        <w:t xml:space="preserve"> </w:t>
      </w:r>
    </w:p>
    <w:tbl>
      <w:tblPr>
        <w:tblW w:w="8770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22"/>
        <w:gridCol w:w="1255"/>
        <w:gridCol w:w="210"/>
        <w:gridCol w:w="257"/>
        <w:gridCol w:w="398"/>
        <w:gridCol w:w="457"/>
        <w:gridCol w:w="336"/>
        <w:gridCol w:w="699"/>
        <w:gridCol w:w="512"/>
        <w:gridCol w:w="125"/>
        <w:gridCol w:w="923"/>
        <w:gridCol w:w="154"/>
        <w:gridCol w:w="432"/>
        <w:gridCol w:w="398"/>
        <w:gridCol w:w="343"/>
        <w:gridCol w:w="23"/>
        <w:gridCol w:w="512"/>
        <w:gridCol w:w="1070"/>
        <w:gridCol w:w="113"/>
        <w:gridCol w:w="77"/>
        <w:gridCol w:w="454"/>
      </w:tblGrid>
      <w:tr w:rsidR="005B1F09" w:rsidRPr="003C19BC" w:rsidTr="0023492D">
        <w:trPr>
          <w:gridBefore w:val="1"/>
          <w:wBefore w:w="22" w:type="dxa"/>
          <w:trHeight w:val="20"/>
          <w:jc w:val="center"/>
        </w:trPr>
        <w:tc>
          <w:tcPr>
            <w:tcW w:w="87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一、项目基本情况</w:t>
            </w:r>
          </w:p>
        </w:tc>
      </w:tr>
      <w:tr w:rsidR="005B1F09" w:rsidRPr="003C19BC" w:rsidTr="0023492D">
        <w:trPr>
          <w:gridBefore w:val="1"/>
          <w:wBefore w:w="22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项目实施单位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3C19BC" w:rsidTr="0023492D">
        <w:trPr>
          <w:gridBefore w:val="1"/>
          <w:wBefore w:w="22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李思阳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68531832</w:t>
            </w:r>
          </w:p>
        </w:tc>
      </w:tr>
      <w:tr w:rsidR="005B1F09" w:rsidRPr="003C19BC" w:rsidTr="0023492D">
        <w:trPr>
          <w:gridBefore w:val="1"/>
          <w:wBefore w:w="22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43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海口市民生东路8号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570125</w:t>
            </w:r>
          </w:p>
        </w:tc>
      </w:tr>
      <w:tr w:rsidR="005B1F09" w:rsidRPr="003C19BC" w:rsidTr="0023492D">
        <w:trPr>
          <w:gridBefore w:val="1"/>
          <w:wBefore w:w="22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702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 xml:space="preserve">经常性项目（ 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Pr="003C19BC">
              <w:rPr>
                <w:rFonts w:ascii="宋体" w:hAnsi="宋体" w:cs="宋体" w:hint="eastAsia"/>
                <w:kern w:val="0"/>
                <w:szCs w:val="21"/>
              </w:rPr>
              <w:t xml:space="preserve">  ）       一次性项目（  ）</w:t>
            </w: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计划投资额</w:t>
            </w:r>
          </w:p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268.35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实际到位资金（万元）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268.35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实际使用情况（万元）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246.04</w:t>
            </w: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268.35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268.35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3C19BC" w:rsidTr="0023492D">
        <w:trPr>
          <w:gridBefore w:val="1"/>
          <w:gridAfter w:val="2"/>
          <w:wBefore w:w="22" w:type="dxa"/>
          <w:wAfter w:w="531" w:type="dxa"/>
          <w:trHeight w:val="20"/>
          <w:jc w:val="center"/>
        </w:trPr>
        <w:tc>
          <w:tcPr>
            <w:tcW w:w="82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</w:t>
            </w:r>
            <w:r w:rsidRPr="003C19B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绩效评价指标评分（参考）</w:t>
            </w:r>
          </w:p>
        </w:tc>
      </w:tr>
      <w:tr w:rsidR="005B1F09" w:rsidRPr="003C19BC" w:rsidTr="0023492D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3C19BC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3C19BC" w:rsidRDefault="005B1F09" w:rsidP="0023492D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项目决策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项目目标</w: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575" cy="28575"/>
                  <wp:effectExtent l="0" t="0" r="0" b="0"/>
                  <wp:docPr id="1" name="图片 1" descr="wps_clip_image-1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s_clip_image-17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575" cy="28575"/>
                  <wp:effectExtent l="0" t="0" r="0" b="0"/>
                  <wp:docPr id="2" name="图片 2" descr="wps_clip_image-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_clip_image-5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575" cy="28575"/>
                  <wp:effectExtent l="0" t="0" r="0" b="0"/>
                  <wp:docPr id="3" name="图片 3" descr="wps_clip_image-3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ps_clip_image-30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575" cy="28575"/>
                  <wp:effectExtent l="0" t="0" r="0" b="0"/>
                  <wp:docPr id="4" name="图片 4" descr="wps_clip_image-14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ps_clip_image-14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目标内容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决策过程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决策依据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决策程序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资金分配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分配办法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分配结果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资金到位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到位率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到位时效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资金管理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资金使用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组织实施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组织机构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管理制度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项目绩效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项目产出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产出数量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产出质量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产出时效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产出成本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项目效益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经济效益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社会效益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环境效益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可持续影响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服务对象满意度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4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lastRenderedPageBreak/>
              <w:t>评价等次</w:t>
            </w:r>
          </w:p>
        </w:tc>
        <w:tc>
          <w:tcPr>
            <w:tcW w:w="39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8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F85BF4" w:rsidRDefault="005B1F09" w:rsidP="0023492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三、评价人员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单   位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项目评分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签 字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32"/>
              </w:rPr>
              <w:t>路美玲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00AC">
              <w:rPr>
                <w:rFonts w:hint="eastAsia"/>
                <w:szCs w:val="32"/>
              </w:rPr>
              <w:t>案件管理处负责人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00AC">
              <w:rPr>
                <w:rFonts w:hint="eastAsia"/>
                <w:szCs w:val="32"/>
              </w:rPr>
              <w:t>王生昌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00AC">
              <w:rPr>
                <w:rFonts w:hint="eastAsia"/>
                <w:szCs w:val="32"/>
              </w:rPr>
              <w:t>法警察支队支队长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Default="005B1F09" w:rsidP="0023492D">
            <w:pPr>
              <w:widowControl/>
              <w:spacing w:line="20" w:lineRule="atLeast"/>
              <w:jc w:val="center"/>
              <w:rPr>
                <w:rFonts w:hAnsi="仿宋_GB2312" w:hint="eastAsia"/>
                <w:szCs w:val="32"/>
                <w:shd w:val="clear" w:color="auto" w:fill="FFFFFF"/>
              </w:rPr>
            </w:pPr>
            <w:r>
              <w:rPr>
                <w:rFonts w:hAnsi="仿宋_GB2312" w:hint="eastAsia"/>
                <w:szCs w:val="32"/>
                <w:shd w:val="clear" w:color="auto" w:fill="FFFFFF"/>
              </w:rPr>
              <w:t>许松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7E00AC" w:rsidRDefault="005B1F09" w:rsidP="0023492D">
            <w:pPr>
              <w:widowControl/>
              <w:spacing w:line="300" w:lineRule="atLeas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公诉二处处长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仿宋_GB2312" w:hint="eastAsia"/>
                <w:szCs w:val="32"/>
                <w:shd w:val="clear" w:color="auto" w:fill="FFFFFF"/>
              </w:rPr>
              <w:t>曾</w:t>
            </w:r>
            <w:r>
              <w:rPr>
                <w:rFonts w:hAnsi="仿宋_GB2312" w:hint="eastAsia"/>
                <w:szCs w:val="32"/>
                <w:shd w:val="clear" w:color="auto" w:fill="FFFFFF"/>
              </w:rPr>
              <w:t xml:space="preserve">  </w:t>
            </w:r>
            <w:r>
              <w:rPr>
                <w:rFonts w:hAnsi="仿宋_GB2312" w:hint="eastAsia"/>
                <w:szCs w:val="32"/>
                <w:shd w:val="clear" w:color="auto" w:fill="FFFFFF"/>
              </w:rPr>
              <w:t>延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E00AC">
              <w:rPr>
                <w:rFonts w:hint="eastAsia"/>
                <w:szCs w:val="32"/>
              </w:rPr>
              <w:t>未检办负责人</w:t>
            </w: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5BF4">
              <w:rPr>
                <w:rFonts w:ascii="宋体" w:hAnsi="宋体" w:cs="宋体" w:hint="eastAsia"/>
                <w:kern w:val="0"/>
                <w:szCs w:val="21"/>
              </w:rPr>
              <w:t>平均得分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F85BF4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1F09" w:rsidRPr="00F85BF4" w:rsidTr="0023492D">
        <w:trPr>
          <w:trHeight w:val="20"/>
          <w:jc w:val="center"/>
        </w:trPr>
        <w:tc>
          <w:tcPr>
            <w:tcW w:w="8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评价工作组组长（签字并单位盖章）：</w:t>
            </w:r>
          </w:p>
          <w:p w:rsidR="005B1F09" w:rsidRPr="003C19BC" w:rsidRDefault="005B1F09" w:rsidP="0023492D">
            <w:pPr>
              <w:widowControl/>
              <w:spacing w:line="30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B1F09" w:rsidRPr="003C19BC" w:rsidRDefault="005B1F09" w:rsidP="0023492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9BC">
              <w:rPr>
                <w:rFonts w:ascii="宋体" w:hAnsi="宋体" w:cs="宋体" w:hint="eastAsia"/>
                <w:kern w:val="0"/>
                <w:szCs w:val="21"/>
              </w:rPr>
              <w:t>年    月   日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  <w:hideMark/>
          </w:tcPr>
          <w:p w:rsidR="005B1F09" w:rsidRPr="00F85BF4" w:rsidRDefault="005B1F09" w:rsidP="002349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rPr>
          <w:rFonts w:hint="eastAsia"/>
        </w:rPr>
      </w:pPr>
    </w:p>
    <w:p w:rsidR="005B1F09" w:rsidRDefault="005B1F09" w:rsidP="005B1F09">
      <w:pPr>
        <w:pStyle w:val="p0"/>
        <w:spacing w:line="578" w:lineRule="atLeas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财政支出项目绩效评价报告</w:t>
      </w:r>
    </w:p>
    <w:p w:rsidR="005B1F09" w:rsidRDefault="005B1F09" w:rsidP="005B1F09">
      <w:pPr>
        <w:pStyle w:val="p0"/>
        <w:spacing w:line="578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</w:rPr>
        <w:t>综合事务）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一、项目概况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（一）项目基本性质、用途和主要内容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332324">
        <w:rPr>
          <w:rFonts w:ascii="仿宋" w:eastAsia="仿宋" w:hAnsi="仿宋" w:hint="eastAsia"/>
          <w:color w:val="000000"/>
        </w:rPr>
        <w:t>根据《宪法》、新刑事诉讼法、《中华人民共和国人民检察院组织法》、《中华人民共和国检察官法》及海南省检察干部培训、表彰奖励、巡视工作、检务督查、人民监督员工作规则等法律法规，为保障办案需要进行综合管理事务。负责对本市海南省检察干部进行培训、表彰奖励、查办违法乱纪案件、巡视工作、印刷、业务报刊、人民监督员工作等综合管理事务。按照最高人民法院、最高人民检察院、财政部联合印发《关于做好2000式审判服、检察服换装工作的通知》做好检察服装购置工作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（二）项目绩效目标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用于对本市检察干部进行培训、表彰奖励、查办违法乱纪案件、巡视工作、印刷、业务报刊等综合管理事务。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1）调研及信息收集（海口检察出版及理论研究费）23.90万元。测算依据及明细为：《海口检察》印刷费6期×18500元/期＝11.1万元（含两期专刊）；《海口检察》校对费及稿费6期×5000元=3万元（含两期专刊）；、参加高检院及其他理论研讨会及培训费用6次×8000元=4.8万元；购</w:t>
      </w:r>
      <w:r w:rsidRPr="00332324">
        <w:rPr>
          <w:rFonts w:ascii="仿宋" w:eastAsia="仿宋" w:hAnsi="仿宋" w:cs="Times New Roman" w:hint="eastAsia"/>
          <w:bCs/>
        </w:rPr>
        <w:lastRenderedPageBreak/>
        <w:t>置检察业务工作必需的工具书、业务资料等3万元；订阅各类检察理论杂志书刊费用2万元。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 xml:space="preserve">（2）布置与培训（业务教育培训费）72.4万元。测算依据及明细为：领导素能培训：2期，参加2人，约需2万元；岗位技能培训4期，30人，约需经费8万元；全市基层院检察人员轮训班，举办4期，约需4万元，专项业务培训举办20期，约200人，约需10万元；参加高检院调训20批次，每人每批次8000元，共需16万元。参加省院调训10批次，每人每批次2000元，共需2万元。组织全市政工干部业务培训2次，每次2000元，共需0.4万元。法警业务培训及岗位练兵需20万元。其他临时培训10万元。 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（3）业务消耗及保管费26万元。测算依据及明细为：多媒体示证及视听设备耗材11万元；综合业务设备、业务统计及档案设备耗材10万元；扣押物品及赃（证）物保管场所的租赁费、消毒费5万元</w:t>
      </w:r>
      <w:r>
        <w:rPr>
          <w:rFonts w:ascii="仿宋" w:eastAsia="仿宋" w:hAnsi="仿宋" w:cs="Times New Roman" w:hint="eastAsia"/>
          <w:bCs/>
        </w:rPr>
        <w:t>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（4）报告与发布10万元（印刷费）。测算依据及明细为：印刷法律用品1000本，每本100页，每页0.5元，需5万元；印刷典型案例汇编、检察专刊及法律文书等，按每年50次，每次1000张，每张1元，需5万元。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（5）政府奖励或扶持48.69万元（业务奖励费）。测算依据及明细为：根据有关规定，对立功个人和单位所发的奖章、证书的开支3万元；年度各类表彰奖励18.69万元；检</w:t>
      </w:r>
      <w:r w:rsidRPr="00332324">
        <w:rPr>
          <w:rFonts w:ascii="仿宋" w:eastAsia="仿宋" w:hAnsi="仿宋" w:cs="Times New Roman" w:hint="eastAsia"/>
          <w:bCs/>
        </w:rPr>
        <w:lastRenderedPageBreak/>
        <w:t>察理论调研表彰奖励4万元，各类业务竞赛5万元，宣传信息表彰奖励3万元，对举报揭发有功人员的奖励费10万元；对配合办案有功人员的奖励费5万元。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6）购买商品服务57万元。测算依据及明细：食堂人员劳务费（5人，每人每月2500元，合计15万元），第一办案区保洁、绿化、保安等人员劳务费（8人，每人每月2500元，合计24万元）第二办公区保安、绿化等人员劳务费（6人，每人每月2500元，合计18万元）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332324">
        <w:rPr>
          <w:rFonts w:ascii="仿宋" w:eastAsia="仿宋" w:hAnsi="仿宋" w:cs="Times New Roman" w:hint="eastAsia"/>
          <w:bCs/>
        </w:rPr>
        <w:t>（7）其他30.98万元。其中：业务报刊费30.98万元。测算依据及明细：订阅检察日报及《方圆》杂志一年19.58万元；订阅检察业务刊物1.57万元；订阅《法制日报》、《法制时报》、《政法舆情》等9.83万元。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332324">
        <w:rPr>
          <w:rFonts w:ascii="仿宋" w:eastAsia="仿宋" w:hAnsi="仿宋" w:cs="Times New Roman" w:hint="eastAsia"/>
          <w:bCs/>
        </w:rPr>
        <w:t>（8）被装购置费5.55万元。测算依据及明细为：新招录及调入人员检察制服男17人×2052元＝34884元；检察制服女7人×1986元＝13902元，法警制服1人6678.20元合计需5.55万元。</w:t>
      </w:r>
      <w:r w:rsidRPr="00332324">
        <w:rPr>
          <w:rFonts w:ascii="仿宋" w:eastAsia="仿宋" w:hAnsi="仿宋" w:cs="Times New Roman" w:hint="eastAsia"/>
          <w:bCs/>
        </w:rPr>
        <w:cr/>
      </w:r>
      <w:r w:rsidRPr="007C43EF">
        <w:rPr>
          <w:rFonts w:ascii="仿宋" w:eastAsia="仿宋" w:hAnsi="仿宋"/>
        </w:rPr>
        <w:t>（一）项目资金到位情况分析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1958B3">
        <w:rPr>
          <w:rFonts w:ascii="仿宋" w:eastAsia="仿宋" w:hAnsi="仿宋" w:hint="eastAsia"/>
        </w:rPr>
        <w:t>该项目计划投资268.35万元，实际到位资金268.35万元，资金来源于省级财政拨款，到位率100%。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（二）项目资金使用情况分析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该项目资金共计268.35万元，其中</w:t>
      </w:r>
      <w:r w:rsidRPr="001958B3">
        <w:rPr>
          <w:rFonts w:ascii="仿宋" w:eastAsia="仿宋" w:hAnsi="仿宋" w:hint="eastAsia"/>
        </w:rPr>
        <w:t>调研与信息收集</w:t>
      </w:r>
      <w:r>
        <w:rPr>
          <w:rFonts w:ascii="仿宋" w:eastAsia="仿宋" w:hAnsi="仿宋" w:hint="eastAsia"/>
        </w:rPr>
        <w:t>费用12.8万元，</w:t>
      </w:r>
      <w:r w:rsidRPr="001958B3">
        <w:rPr>
          <w:rFonts w:ascii="仿宋" w:eastAsia="仿宋" w:hAnsi="仿宋" w:hint="eastAsia"/>
        </w:rPr>
        <w:t>布置与培训</w:t>
      </w:r>
      <w:r>
        <w:rPr>
          <w:rFonts w:ascii="仿宋" w:eastAsia="仿宋" w:hAnsi="仿宋" w:hint="eastAsia"/>
        </w:rPr>
        <w:t>费用64.5万元，</w:t>
      </w:r>
      <w:r w:rsidRPr="001958B3">
        <w:rPr>
          <w:rFonts w:ascii="仿宋" w:eastAsia="仿宋" w:hAnsi="仿宋" w:hint="eastAsia"/>
        </w:rPr>
        <w:t>购买商品服务</w:t>
      </w:r>
      <w:r>
        <w:rPr>
          <w:rFonts w:ascii="仿宋" w:eastAsia="仿宋" w:hAnsi="仿宋" w:hint="eastAsia"/>
        </w:rPr>
        <w:t>费用</w:t>
      </w:r>
      <w:r>
        <w:rPr>
          <w:rFonts w:ascii="仿宋" w:eastAsia="仿宋" w:hAnsi="仿宋" w:hint="eastAsia"/>
        </w:rPr>
        <w:lastRenderedPageBreak/>
        <w:t>53.8万元，</w:t>
      </w:r>
      <w:r w:rsidRPr="001958B3">
        <w:rPr>
          <w:rFonts w:ascii="仿宋" w:eastAsia="仿宋" w:hAnsi="仿宋" w:hint="eastAsia"/>
        </w:rPr>
        <w:t>报告与发布</w:t>
      </w:r>
      <w:r>
        <w:rPr>
          <w:rFonts w:ascii="仿宋" w:eastAsia="仿宋" w:hAnsi="仿宋" w:hint="eastAsia"/>
        </w:rPr>
        <w:t>费用21.1万元，</w:t>
      </w:r>
      <w:r w:rsidRPr="001958B3">
        <w:rPr>
          <w:rFonts w:ascii="仿宋" w:eastAsia="仿宋" w:hAnsi="仿宋" w:hint="eastAsia"/>
        </w:rPr>
        <w:t>政府奖励或扶持</w:t>
      </w:r>
      <w:r>
        <w:rPr>
          <w:rFonts w:ascii="仿宋" w:eastAsia="仿宋" w:hAnsi="仿宋" w:hint="eastAsia"/>
        </w:rPr>
        <w:t>资金费用44.58万元，</w:t>
      </w:r>
      <w:r w:rsidRPr="001958B3">
        <w:rPr>
          <w:rFonts w:ascii="仿宋" w:eastAsia="仿宋" w:hAnsi="仿宋" w:hint="eastAsia"/>
        </w:rPr>
        <w:t>其他</w:t>
      </w:r>
      <w:r>
        <w:rPr>
          <w:rFonts w:ascii="仿宋" w:eastAsia="仿宋" w:hAnsi="仿宋" w:hint="eastAsia"/>
        </w:rPr>
        <w:t>费用71.57万元。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（三）项目资金管理情况分析</w:t>
      </w:r>
    </w:p>
    <w:p w:rsidR="005B1F09" w:rsidRDefault="005B1F09" w:rsidP="005B1F09">
      <w:pPr>
        <w:pStyle w:val="p0"/>
        <w:spacing w:line="578" w:lineRule="atLeast"/>
        <w:ind w:firstLineChars="230" w:firstLine="736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</w:rPr>
        <w:t>2017年度该项目所有资金实行专款专用，项目支出均具有相关的授权审批，资金授付严格审批程序，使用规范，会计核算结果真实、准确。项目部门建立健全项目实施预算方案、财务管理制度和会计核算制度，此次绩效评价过程中未发现有截留、挤占或挪用项目资金的情况。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三、项目组织实施情况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（一）项目组织情况分析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该项目属于经常性项目，由本单位自行组织实施，实施过程均按照相关法律法规及本部门制定的管理制度来执行。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（二）项目管理情况分析</w:t>
      </w:r>
    </w:p>
    <w:p w:rsidR="005B1F09" w:rsidRPr="00B82051" w:rsidRDefault="005B1F09" w:rsidP="005B1F09">
      <w:pPr>
        <w:pStyle w:val="p0"/>
        <w:ind w:firstLineChars="200" w:firstLine="640"/>
        <w:rPr>
          <w:rFonts w:ascii="仿宋" w:eastAsia="仿宋" w:hAnsi="仿宋" w:cs="Times New Roman"/>
          <w:sz w:val="21"/>
          <w:szCs w:val="21"/>
        </w:rPr>
      </w:pPr>
      <w:r>
        <w:rPr>
          <w:rFonts w:ascii="仿宋" w:eastAsia="仿宋" w:hAnsi="仿宋" w:hint="eastAsia"/>
          <w:color w:val="000000"/>
        </w:rPr>
        <w:t>该项目目标设定依据充分、明确、合理，绩效目标完成情况较高，项目实施建设过程中符合国家法律法规，</w:t>
      </w:r>
      <w:r w:rsidRPr="00B82051">
        <w:rPr>
          <w:rFonts w:ascii="仿宋" w:eastAsia="仿宋" w:hAnsi="仿宋" w:cs="Times New Roman"/>
        </w:rPr>
        <w:t>在省</w:t>
      </w:r>
      <w:r>
        <w:rPr>
          <w:rFonts w:ascii="仿宋" w:eastAsia="仿宋" w:hAnsi="仿宋" w:cs="Times New Roman" w:hint="eastAsia"/>
        </w:rPr>
        <w:t>人民检察</w:t>
      </w:r>
      <w:r w:rsidRPr="00B82051">
        <w:rPr>
          <w:rFonts w:ascii="仿宋" w:eastAsia="仿宋" w:hAnsi="仿宋" w:cs="Times New Roman"/>
        </w:rPr>
        <w:t>院、</w:t>
      </w:r>
      <w:r>
        <w:rPr>
          <w:rFonts w:ascii="仿宋" w:eastAsia="仿宋" w:hAnsi="仿宋" w:cs="Times New Roman" w:hint="eastAsia"/>
        </w:rPr>
        <w:t>海口</w:t>
      </w:r>
      <w:r w:rsidRPr="00B82051">
        <w:rPr>
          <w:rFonts w:ascii="仿宋" w:eastAsia="仿宋" w:hAnsi="仿宋" w:cs="Times New Roman"/>
        </w:rPr>
        <w:t>市委的正确领导下，以党的十九大精神和习近平新时代中国特色社会主义思想为指引，深入贯彻省第七次党代会精神，认真落实第六次全省检察工作会议的工作部署，紧紧围绕海口经济社会发展大局，忠实履行法律监督职责，深入推进平安海口、法治海口和过硬队伍建设，各项检察工作稳中有进。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四、项目绩效情况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lastRenderedPageBreak/>
        <w:t>（一）项目绩效目标完成情况分析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1. 项目的经济性分析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（1）项目成本（预算）控制情况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F820BB">
        <w:rPr>
          <w:rFonts w:ascii="仿宋" w:eastAsia="仿宋" w:hAnsi="仿宋" w:hint="eastAsia"/>
        </w:rPr>
        <w:t>该项目2017年预算268.35万元，计划投资额268.35万元，实际支出246.04万元。</w:t>
      </w:r>
      <w:r>
        <w:rPr>
          <w:rFonts w:ascii="仿宋" w:eastAsia="仿宋" w:hAnsi="仿宋" w:hint="eastAsia"/>
        </w:rPr>
        <w:t>通过合理使用，尽量减少重复开支，对项目成本进行控制，有效节约了成本。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（2）项目成本（预算）节约情况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F820BB">
        <w:rPr>
          <w:rFonts w:ascii="仿宋" w:eastAsia="仿宋" w:hAnsi="仿宋" w:hint="eastAsia"/>
        </w:rPr>
        <w:t>该项目2017年预算268.35万元，计划投资额268.35万元，实际支出246.04万元。</w:t>
      </w:r>
      <w:r>
        <w:rPr>
          <w:rFonts w:ascii="仿宋" w:eastAsia="仿宋" w:hAnsi="仿宋" w:hint="eastAsia"/>
        </w:rPr>
        <w:t>通过控制成本的合理使用，减少不必要开支，有效节约了成本，提高资金使用情况。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2. 项目的效率性分析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（1）项目的实施进度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该项目在2017年底已经全部完成，预算支出进度率达到91.69%，完成项目指标。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（2）项目完成质量</w:t>
      </w:r>
    </w:p>
    <w:p w:rsidR="005B1F09" w:rsidRDefault="005B1F09" w:rsidP="005B1F09">
      <w:pPr>
        <w:pStyle w:val="p0"/>
        <w:ind w:firstLineChars="200" w:firstLine="640"/>
        <w:rPr>
          <w:rFonts w:ascii="仿宋" w:eastAsia="仿宋" w:hAnsi="仿宋"/>
        </w:rPr>
      </w:pPr>
      <w:r w:rsidRPr="00E8307C">
        <w:rPr>
          <w:rFonts w:ascii="仿宋" w:eastAsia="仿宋" w:hAnsi="仿宋" w:hint="eastAsia"/>
        </w:rPr>
        <w:t>该项目是按照工作的需求逐步进行</w:t>
      </w:r>
      <w:r>
        <w:rPr>
          <w:rFonts w:ascii="仿宋" w:eastAsia="仿宋" w:hAnsi="仿宋" w:hint="eastAsia"/>
        </w:rPr>
        <w:t>，</w:t>
      </w:r>
      <w:r w:rsidRPr="00AE563C">
        <w:rPr>
          <w:rFonts w:ascii="仿宋" w:eastAsia="仿宋" w:hAnsi="仿宋" w:hint="eastAsia"/>
        </w:rPr>
        <w:t>用于对本市检察干部进行培训、表彰奖励、查办违法乱纪案件、巡视工作、印刷、业务报刊等综合管理事务</w:t>
      </w:r>
      <w:r>
        <w:rPr>
          <w:rFonts w:ascii="仿宋" w:eastAsia="仿宋" w:hAnsi="仿宋" w:hint="eastAsia"/>
        </w:rPr>
        <w:t>，都已保质保量完成</w:t>
      </w:r>
      <w:r w:rsidRPr="00AE563C">
        <w:rPr>
          <w:rFonts w:ascii="仿宋" w:eastAsia="仿宋" w:hAnsi="仿宋" w:hint="eastAsia"/>
        </w:rPr>
        <w:t>。</w:t>
      </w:r>
    </w:p>
    <w:p w:rsidR="005B1F09" w:rsidRPr="007C43EF" w:rsidRDefault="005B1F09" w:rsidP="005B1F09">
      <w:pPr>
        <w:pStyle w:val="p0"/>
        <w:ind w:firstLineChars="200" w:firstLine="64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3. 项目的</w:t>
      </w:r>
      <w:r w:rsidRPr="007C43EF">
        <w:rPr>
          <w:rFonts w:ascii="仿宋" w:eastAsia="仿宋" w:hAnsi="仿宋"/>
        </w:rPr>
        <w:t>效益性分析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（1）项目预期目标完成程度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该项目</w:t>
      </w:r>
      <w:r w:rsidRPr="007C43EF">
        <w:rPr>
          <w:rFonts w:ascii="仿宋" w:eastAsia="仿宋" w:hAnsi="仿宋"/>
        </w:rPr>
        <w:t>预期目标</w:t>
      </w:r>
      <w:r>
        <w:rPr>
          <w:rFonts w:ascii="仿宋" w:eastAsia="仿宋" w:hAnsi="仿宋" w:hint="eastAsia"/>
        </w:rPr>
        <w:t>已</w:t>
      </w:r>
      <w:r w:rsidRPr="007C43EF">
        <w:rPr>
          <w:rFonts w:ascii="仿宋" w:eastAsia="仿宋" w:hAnsi="仿宋"/>
        </w:rPr>
        <w:t>完成</w:t>
      </w:r>
      <w:r>
        <w:rPr>
          <w:rFonts w:ascii="仿宋" w:eastAsia="仿宋" w:hAnsi="仿宋" w:hint="eastAsia"/>
        </w:rPr>
        <w:t>，2017年度财政收支未发生重大问题。</w:t>
      </w:r>
    </w:p>
    <w:p w:rsidR="005B1F09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lastRenderedPageBreak/>
        <w:t>（2）项目实施对经济和社会的影响</w:t>
      </w:r>
    </w:p>
    <w:p w:rsidR="005B1F09" w:rsidRPr="004076E8" w:rsidRDefault="005B1F09" w:rsidP="005B1F09">
      <w:pPr>
        <w:pStyle w:val="p0"/>
        <w:spacing w:line="560" w:lineRule="atLeast"/>
        <w:ind w:firstLine="640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</w:rPr>
        <w:t>该项目预期目标已完成，对</w:t>
      </w:r>
      <w:r>
        <w:rPr>
          <w:rFonts w:ascii="仿宋" w:eastAsia="仿宋" w:hAnsi="仿宋" w:hint="eastAsia"/>
        </w:rPr>
        <w:t>本市检察干部进行培训，使干警对工作更加熟悉，对干警进行</w:t>
      </w:r>
      <w:r w:rsidRPr="00AE563C">
        <w:rPr>
          <w:rFonts w:ascii="仿宋" w:eastAsia="仿宋" w:hAnsi="仿宋" w:hint="eastAsia"/>
        </w:rPr>
        <w:t>表彰奖励</w:t>
      </w:r>
      <w:r>
        <w:rPr>
          <w:rFonts w:ascii="仿宋" w:eastAsia="仿宋" w:hAnsi="仿宋" w:hint="eastAsia"/>
        </w:rPr>
        <w:t>，使广大干警对工作更加积极。</w:t>
      </w:r>
      <w:r w:rsidRPr="00AE563C">
        <w:rPr>
          <w:rFonts w:ascii="仿宋" w:eastAsia="仿宋" w:hAnsi="仿宋" w:hint="eastAsia"/>
        </w:rPr>
        <w:t>查办违法乱纪案件、巡视工作、印刷、业务报刊等综合管理事务</w:t>
      </w:r>
      <w:r>
        <w:rPr>
          <w:rFonts w:ascii="仿宋" w:eastAsia="仿宋" w:hAnsi="仿宋" w:hint="eastAsia"/>
        </w:rPr>
        <w:t>，使普法宣传有更多的方式传播，从而达到普法的目的。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4. 项目的可持续性分析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该项目为我院提供各类型综合事务，保证市检察院运行，财政每年均拨付两房及装备更新维护，对财政资金实施全过程监督。</w:t>
      </w:r>
    </w:p>
    <w:p w:rsidR="005B1F09" w:rsidRDefault="005B1F09" w:rsidP="005B1F09">
      <w:pPr>
        <w:pStyle w:val="p0"/>
        <w:spacing w:line="578" w:lineRule="atLeast"/>
        <w:ind w:firstLine="630"/>
        <w:rPr>
          <w:rFonts w:ascii="仿宋" w:eastAsia="仿宋" w:hAnsi="仿宋"/>
          <w:color w:val="000000"/>
        </w:rPr>
      </w:pPr>
      <w:r w:rsidRPr="007C43EF">
        <w:rPr>
          <w:rFonts w:ascii="仿宋" w:eastAsia="仿宋" w:hAnsi="仿宋"/>
          <w:color w:val="000000"/>
        </w:rPr>
        <w:t>（二）项目绩效目标未完成原因分析</w:t>
      </w:r>
    </w:p>
    <w:p w:rsidR="005B1F09" w:rsidRDefault="005B1F09" w:rsidP="005B1F09">
      <w:pPr>
        <w:pStyle w:val="p0"/>
        <w:spacing w:line="578" w:lineRule="atLeast"/>
        <w:ind w:firstLine="63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无</w:t>
      </w:r>
    </w:p>
    <w:p w:rsidR="005B1F09" w:rsidRPr="00145FA3" w:rsidRDefault="005B1F09" w:rsidP="005B1F09">
      <w:pPr>
        <w:pStyle w:val="p0"/>
        <w:spacing w:line="578" w:lineRule="atLeast"/>
        <w:ind w:firstLine="630"/>
        <w:rPr>
          <w:rFonts w:ascii="仿宋" w:eastAsia="仿宋" w:hAnsi="仿宋"/>
        </w:rPr>
      </w:pPr>
      <w:r w:rsidRPr="00145FA3">
        <w:rPr>
          <w:rFonts w:ascii="仿宋" w:eastAsia="仿宋" w:hAnsi="仿宋"/>
        </w:rPr>
        <w:t>五、综合评价情况及评价结论</w:t>
      </w:r>
    </w:p>
    <w:p w:rsidR="005B1F09" w:rsidRPr="00145FA3" w:rsidRDefault="005B1F09" w:rsidP="005B1F09">
      <w:pPr>
        <w:spacing w:line="500" w:lineRule="exact"/>
        <w:ind w:firstLineChars="200" w:firstLine="640"/>
        <w:rPr>
          <w:rFonts w:ascii="仿宋" w:eastAsia="仿宋" w:hAnsi="仿宋"/>
        </w:rPr>
      </w:pPr>
      <w:r w:rsidRPr="00145FA3">
        <w:rPr>
          <w:rFonts w:ascii="仿宋" w:eastAsia="仿宋" w:hAnsi="仿宋" w:cs="仿宋" w:hint="eastAsia"/>
          <w:bCs/>
          <w:sz w:val="32"/>
          <w:szCs w:val="32"/>
        </w:rPr>
        <w:t>绩效管理工作执行良好。从部门项目规范体系及相应的目标设定，到后续的预算项目立项评级、绩效目标设置以及绩效自评工作，再到全年部门整体支出绩效管理及年度评价工作，绩效管理理念已充分体现在预算管理工作的方方面面。</w:t>
      </w:r>
      <w:r>
        <w:rPr>
          <w:rFonts w:ascii="仿宋" w:eastAsia="仿宋" w:hAnsi="仿宋" w:cs="仿宋" w:hint="eastAsia"/>
          <w:bCs/>
          <w:sz w:val="32"/>
          <w:szCs w:val="32"/>
        </w:rPr>
        <w:t>该项目整体发挥的社会效益明显，对本单位运行发挥重大作用，经评价小组综合分析，项目平均分为97分，评价结果为优。</w:t>
      </w:r>
    </w:p>
    <w:p w:rsidR="005B1F09" w:rsidRDefault="005B1F09" w:rsidP="005B1F09">
      <w:pPr>
        <w:pStyle w:val="p0"/>
        <w:spacing w:line="578" w:lineRule="atLeast"/>
        <w:ind w:firstLine="63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六、主要经验及做法、存在的问题和建议</w:t>
      </w:r>
    </w:p>
    <w:p w:rsidR="005B1F09" w:rsidRPr="007A6ECC" w:rsidRDefault="005B1F09" w:rsidP="005B1F09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7A6ECC">
        <w:rPr>
          <w:rFonts w:ascii="仿宋" w:eastAsia="仿宋" w:hAnsi="仿宋" w:cs="仿宋" w:hint="eastAsia"/>
          <w:bCs/>
          <w:sz w:val="32"/>
          <w:szCs w:val="32"/>
        </w:rPr>
        <w:t>预算安排要有前瞻性、科学化、精细化，建立有效的预算管理制度和资金使用计划，防止资金拨付过快支出过慢现象，即时反馈预算支出的实际进度，做好预算执行前期准备</w:t>
      </w:r>
      <w:r w:rsidRPr="007A6ECC">
        <w:rPr>
          <w:rFonts w:ascii="仿宋" w:eastAsia="仿宋" w:hAnsi="仿宋" w:cs="仿宋" w:hint="eastAsia"/>
          <w:bCs/>
          <w:sz w:val="32"/>
          <w:szCs w:val="32"/>
        </w:rPr>
        <w:lastRenderedPageBreak/>
        <w:t>工作，切实做好预算执行工作，提高预算执行序时进度。</w:t>
      </w:r>
    </w:p>
    <w:p w:rsidR="005B1F09" w:rsidRPr="007A6ECC" w:rsidRDefault="005B1F09" w:rsidP="005B1F09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 w:rsidRPr="007A6ECC">
        <w:rPr>
          <w:rFonts w:ascii="仿宋" w:eastAsia="仿宋" w:hAnsi="仿宋" w:cs="仿宋" w:hint="eastAsia"/>
          <w:bCs/>
          <w:sz w:val="32"/>
          <w:szCs w:val="32"/>
        </w:rPr>
        <w:t>按照项目管理制度及中心财务管理规定相关制度组织实施，加强项目管理和监督，确保项目实施规范有序。</w:t>
      </w:r>
    </w:p>
    <w:p w:rsidR="005B1F09" w:rsidRPr="00145FA3" w:rsidRDefault="005B1F09" w:rsidP="005B1F09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145FA3">
        <w:rPr>
          <w:rFonts w:ascii="仿宋" w:eastAsia="仿宋" w:hAnsi="仿宋" w:cs="仿宋" w:hint="eastAsia"/>
          <w:bCs/>
          <w:sz w:val="32"/>
          <w:szCs w:val="32"/>
        </w:rPr>
        <w:t>建议加强对部门项目的预算管理编制，缩小部门实际项目支出和预算差异，对已下达指标的项目应按时规划并实施，及时完成项目建设。建议完善预算管理，进一步做细、做实、做准预算，严格执行预算，如因特殊情况需要调整预算的应当严格按程序报批；建立预算执行全过程动态监控机制，健全预算绩效管理体系，提高预算执行的准确率。</w:t>
      </w:r>
    </w:p>
    <w:p w:rsidR="005B1F09" w:rsidRPr="007C43EF" w:rsidRDefault="005B1F09" w:rsidP="005B1F09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>七、其他需说明的问题</w:t>
      </w:r>
    </w:p>
    <w:p w:rsidR="005B1F09" w:rsidRPr="007C43EF" w:rsidRDefault="005B1F09" w:rsidP="005B1F09">
      <w:pPr>
        <w:pStyle w:val="p0"/>
        <w:spacing w:line="578" w:lineRule="atLeast"/>
        <w:jc w:val="left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 xml:space="preserve">   无</w:t>
      </w:r>
    </w:p>
    <w:p w:rsidR="005B1F09" w:rsidRPr="007C43EF" w:rsidRDefault="005B1F09" w:rsidP="005B1F09">
      <w:pPr>
        <w:pStyle w:val="p0"/>
        <w:spacing w:line="578" w:lineRule="atLeast"/>
        <w:jc w:val="left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 xml:space="preserve"> </w:t>
      </w:r>
    </w:p>
    <w:p w:rsidR="005B1F09" w:rsidRPr="007C43EF" w:rsidRDefault="005B1F09" w:rsidP="005B1F09">
      <w:pPr>
        <w:pStyle w:val="p0"/>
        <w:spacing w:line="578" w:lineRule="atLeast"/>
        <w:jc w:val="left"/>
        <w:rPr>
          <w:rFonts w:ascii="仿宋" w:eastAsia="仿宋" w:hAnsi="仿宋"/>
        </w:rPr>
      </w:pPr>
      <w:r w:rsidRPr="007C43EF">
        <w:rPr>
          <w:rFonts w:ascii="仿宋" w:eastAsia="仿宋" w:hAnsi="仿宋"/>
        </w:rPr>
        <w:t xml:space="preserve"> </w:t>
      </w:r>
    </w:p>
    <w:p w:rsidR="005B1F09" w:rsidRPr="007C43EF" w:rsidRDefault="005B1F09" w:rsidP="005B1F09">
      <w:pPr>
        <w:rPr>
          <w:rFonts w:ascii="仿宋" w:eastAsia="仿宋" w:hAnsi="仿宋"/>
        </w:rPr>
      </w:pPr>
    </w:p>
    <w:p w:rsidR="005B1F09" w:rsidRPr="002338F9" w:rsidRDefault="005B1F09" w:rsidP="005B1F09"/>
    <w:p w:rsidR="00C24491" w:rsidRPr="005B1F09" w:rsidRDefault="00C24491"/>
    <w:sectPr w:rsidR="00C24491" w:rsidRPr="005B1F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91" w:rsidRDefault="00C24491" w:rsidP="005B1F09">
      <w:r>
        <w:separator/>
      </w:r>
    </w:p>
  </w:endnote>
  <w:endnote w:type="continuationSeparator" w:id="1">
    <w:p w:rsidR="00C24491" w:rsidRDefault="00C24491" w:rsidP="005B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91" w:rsidRDefault="00C24491" w:rsidP="005B1F09">
      <w:r>
        <w:separator/>
      </w:r>
    </w:p>
  </w:footnote>
  <w:footnote w:type="continuationSeparator" w:id="1">
    <w:p w:rsidR="00C24491" w:rsidRDefault="00C24491" w:rsidP="005B1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F09"/>
    <w:rsid w:val="005B1F09"/>
    <w:rsid w:val="00C2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F09"/>
    <w:rPr>
      <w:sz w:val="18"/>
      <w:szCs w:val="18"/>
    </w:rPr>
  </w:style>
  <w:style w:type="paragraph" w:customStyle="1" w:styleId="p0">
    <w:name w:val="p0"/>
    <w:basedOn w:val="a"/>
    <w:rsid w:val="005B1F09"/>
    <w:pPr>
      <w:widowControl/>
    </w:pPr>
    <w:rPr>
      <w:rFonts w:ascii="仿宋_GB2312" w:hAnsi="仿宋_GB2312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2018-07-31T08:14:00Z</dcterms:created>
  <dcterms:modified xsi:type="dcterms:W3CDTF">2018-07-31T08:14:00Z</dcterms:modified>
</cp:coreProperties>
</file>