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万宁市人民检察院201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年度</w:t>
      </w:r>
      <w:r>
        <w:rPr>
          <w:rFonts w:hint="eastAsia" w:ascii="黑体" w:hAnsi="黑体" w:eastAsia="黑体"/>
          <w:sz w:val="44"/>
          <w:szCs w:val="44"/>
          <w:lang w:eastAsia="zh-CN"/>
        </w:rPr>
        <w:t>聘用制书记员管理</w:t>
      </w:r>
      <w:r>
        <w:rPr>
          <w:rFonts w:hint="eastAsia" w:ascii="黑体" w:hAnsi="黑体" w:eastAsia="黑体"/>
          <w:sz w:val="44"/>
          <w:szCs w:val="44"/>
        </w:rPr>
        <w:t>项目绩效评价报告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一、项目概况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（一）项目单位基本情况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截止2019年12月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31日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市人民检察院现有编制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67</w:t>
      </w:r>
      <w:r>
        <w:rPr>
          <w:rFonts w:hint="eastAsia" w:ascii="仿宋_GB2312" w:hAnsi="宋体" w:eastAsia="仿宋_GB2312"/>
          <w:sz w:val="28"/>
          <w:szCs w:val="28"/>
        </w:rPr>
        <w:t>名，其中政法编制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62</w:t>
      </w:r>
      <w:r>
        <w:rPr>
          <w:rFonts w:hint="eastAsia" w:ascii="仿宋_GB2312" w:hAnsi="宋体" w:eastAsia="仿宋_GB2312"/>
          <w:sz w:val="28"/>
          <w:szCs w:val="28"/>
        </w:rPr>
        <w:t>名，机关工勤编制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名，实有在编人数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64</w:t>
      </w:r>
      <w:r>
        <w:rPr>
          <w:rFonts w:hint="eastAsia" w:ascii="仿宋_GB2312" w:hAnsi="宋体" w:eastAsia="仿宋_GB2312"/>
          <w:sz w:val="28"/>
          <w:szCs w:val="28"/>
        </w:rPr>
        <w:t>人（含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名机关工勤人员），聘用制书记员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人。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市人民检察院2019年1月至3月设有五局一部和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个派驻检察室，即公诉局、侦查监督局、诉讼监督局、检察业务管理局、检察事务保障局、政治监察部和派驻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兴隆</w:t>
      </w:r>
      <w:r>
        <w:rPr>
          <w:rFonts w:hint="eastAsia" w:ascii="仿宋_GB2312" w:hAnsi="宋体" w:eastAsia="仿宋_GB2312"/>
          <w:sz w:val="28"/>
          <w:szCs w:val="28"/>
        </w:rPr>
        <w:t>检察室、派驻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和乐</w:t>
      </w:r>
      <w:r>
        <w:rPr>
          <w:rFonts w:hint="eastAsia" w:ascii="仿宋_GB2312" w:hAnsi="宋体" w:eastAsia="仿宋_GB2312"/>
          <w:sz w:val="28"/>
          <w:szCs w:val="28"/>
        </w:rPr>
        <w:t>检察室。2019年3月29日，按照《中共中央、国务院关于支持海南全面深化改革开放的指导意见》和最高人民检察院《关于推进省以下人民检察院内设机构改革工作的通知》等文件要求，中共海南省委机构编制委员会办公室印发了新的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市人民检察院职能配置、内设机构和人员编制规定》，设有内设机构8个，分别是办公室、政治部、第一检察部、第二检察部、第三检察部、第四检察部、第五检察部、第六检察部，派驻机构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个，分别是派驻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兴隆</w:t>
      </w:r>
      <w:r>
        <w:rPr>
          <w:rFonts w:hint="eastAsia" w:ascii="仿宋_GB2312" w:hAnsi="宋体" w:eastAsia="仿宋_GB2312"/>
          <w:sz w:val="28"/>
          <w:szCs w:val="28"/>
        </w:rPr>
        <w:t>检察室、派驻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和乐</w:t>
      </w:r>
      <w:r>
        <w:rPr>
          <w:rFonts w:hint="eastAsia" w:ascii="仿宋_GB2312" w:hAnsi="宋体" w:eastAsia="仿宋_GB2312"/>
          <w:sz w:val="28"/>
          <w:szCs w:val="28"/>
        </w:rPr>
        <w:t>检察室。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万宁市人民检察院作为法律监督机关，依法履行法律监督职能，保证国家法律的统一和正确实施。其主要职责是：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（一）对万宁市人民代表大会及其常务委员会负责并报告工作，接受万宁市人民代表大会及其常务委员会的监督,依法向万宁市人民代表大会及其常务委员会提出议案。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（二）对万宁市公安机关等侦查机关的案件进行审查，决定是否速捕、起诉或不起诉，并对侦查机关的侦查活动是否合法实施监督。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（三）依法对本市民事和行政案件审判活动进行法律监督。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 依法对执行机关执行刑罚的活动和监管活动是否合法、合规实行监督。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（五）负责对本市监察委移送的职务犯案件的批准逮捕、审查起诉等工作。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（六）受理公民控告、申诉和检举；办理司法救助事项。 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(七）负责对刑事判决、裁定的执行和监管活动实行法律监督；对服刑人员的又犯罪案件和劳教人员的犯罪案件审查批捕、提起公诉等工作。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八）对破坏生态环境和资源保护、食品药品安全、国有财产保护、国有土地使用权出让、英烈权益保护等提害国家和社会公共利益的行为实行监督，对负有监管职责的行政机关违法行使职权或者不作为的，督促履行职责；行政机关不履行职责的，依法向人民法院提起诉讼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（九）负责上级检察院交办的事项。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（二）项目基本性质、主要内容、涉及范围及目的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“聘用制书记员管理”项目基本性质为经常性项目，主要包括负责对本院聘用制书记员进行招聘、日常人事工作管理及工资福利待遇保障等。目的系为不断完善司法人员分类管理制定，推动聘用制书记员管理制度化、规范化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（三）项目的总目标</w:t>
      </w:r>
    </w:p>
    <w:p>
      <w:pPr>
        <w:spacing w:line="520" w:lineRule="exact"/>
        <w:ind w:firstLine="560" w:firstLineChars="200"/>
        <w:outlineLvl w:val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市人民检察院2019年“聘用制书记员管理”项目的预期总目标为：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聘用制书记员协助检察官办案录入案件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500件以上，整理档案200份以上。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二、项目资金使用及管理情况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（一）项目资金到位情况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市人民检察院“聘用制书记员管理”项目为2019年度经常性项目，总预算资金为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193.48</w:t>
      </w:r>
      <w:r>
        <w:rPr>
          <w:rFonts w:hint="eastAsia" w:ascii="仿宋_GB2312" w:hAnsi="宋体" w:eastAsia="仿宋_GB2312"/>
          <w:sz w:val="28"/>
          <w:szCs w:val="28"/>
        </w:rPr>
        <w:t>万元，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当年</w:t>
      </w:r>
      <w:r>
        <w:rPr>
          <w:rFonts w:hint="eastAsia" w:ascii="仿宋_GB2312" w:hAnsi="宋体" w:eastAsia="仿宋_GB2312"/>
          <w:sz w:val="28"/>
          <w:szCs w:val="28"/>
        </w:rPr>
        <w:t>已落实省级项目资金合计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193.48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（二）项目资金使用情况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2019年项目支出资金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177.81</w:t>
      </w:r>
      <w:r>
        <w:rPr>
          <w:rFonts w:hint="eastAsia" w:ascii="仿宋_GB2312" w:hAnsi="宋体" w:eastAsia="仿宋_GB2312"/>
          <w:sz w:val="28"/>
          <w:szCs w:val="28"/>
        </w:rPr>
        <w:t>万元，剩余资金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15.67万元</w:t>
      </w:r>
      <w:r>
        <w:rPr>
          <w:rFonts w:hint="eastAsia" w:ascii="仿宋_GB2312" w:hAnsi="宋体" w:eastAsia="仿宋_GB2312"/>
          <w:sz w:val="28"/>
          <w:szCs w:val="28"/>
        </w:rPr>
        <w:t>。其中工资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、社保、公积金支出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145.31</w:t>
      </w:r>
      <w:r>
        <w:rPr>
          <w:rFonts w:hint="eastAsia" w:ascii="仿宋_GB2312" w:hAnsi="宋体" w:eastAsia="仿宋_GB2312"/>
          <w:sz w:val="28"/>
          <w:szCs w:val="28"/>
        </w:rPr>
        <w:t>万元，公用经费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32.5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1.工资：聘用书记员工资，包括绩效工资；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2.社会保险费：医疗、养老、工伤、失业、生育保险费的单位缴纳部分；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3.住房公积金：住房公积金的单位缴纳部分；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4.公用经费：包括午餐费、差旅费、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维修费等</w:t>
      </w:r>
      <w:r>
        <w:rPr>
          <w:rFonts w:hint="eastAsia" w:ascii="仿宋_GB2312" w:hAnsi="宋体" w:eastAsia="仿宋_GB2312"/>
          <w:sz w:val="28"/>
          <w:szCs w:val="28"/>
        </w:rPr>
        <w:t>支出。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（三）项目资金管理情况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项目预期目标已基本完成，2019年度财政收支未发生重大问题。项目的各个阶段严格按照财政标准执行，资金全部用于聘用制书记员管理工作。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市人民检察院“聘用制书记员管理”项目在资金管理及建设运行上严格遵守《中华人民共和国预算法》、《海南省财政国库集中支付管理办法》、《党政机关厉行节约反对浪费条例》等相关文件的各项规定，由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市国库支付局实行单独核算，采取国库集中支付的方式拨支款项，切实做到了专款专用，严格控制项目资金支出，以批复的预算作为资金控制依据，避免专项资金被挤占、截留和挪用。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三、项目组织实施情况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（一）项目立项背景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聘用制书记员是由省级检察院统一公开招聘，各市、区县级检察院依法聘用，从事记录、整理、归档等辅助性事务性的检察辅助人员。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立项依据海南省人民检察院“关于印发《海南省检察机关聘用书记员管理办法（试行）》的通知（琼检发政字〔2018〕66号）”。该项目主要是为了在人员编制有限的情况下，提高检察院业务工作开展的效率及质量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（二）项目实施情况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该项目作为经常性项目列支，根据《海南省高级人民法院、海南省人民检察院、海南省财政厅、海南省人力资源和社会保障厅关于印发&lt;海南省人民法院、人民检察院聘用制书记员管理制度改革实施方案&gt;的通知》（琼高法联〔2018〕2号）的规定立项，主要以发放聘用人员工资、社会保险费及住房公积金，以足额发放保障聘用人员的辅助工作功能，保障检察业务系统办案及相关检察业务工作的顺利开展，从整体情况来看，该项目实施情况良好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四、项目绩效情况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（一）</w:t>
      </w:r>
      <w:r>
        <w:rPr>
          <w:rFonts w:hint="eastAsia" w:ascii="仿宋_GB2312" w:hAnsi="宋体" w:eastAsia="仿宋_GB2312"/>
          <w:sz w:val="28"/>
          <w:szCs w:val="28"/>
        </w:rPr>
        <w:t>项目绩效情况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项目绩效目标完成情况分析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项目的经济性分析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项目成本（预算）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193.48</w:t>
      </w:r>
      <w:r>
        <w:rPr>
          <w:rFonts w:hint="eastAsia" w:ascii="仿宋_GB2312" w:hAnsi="宋体" w:eastAsia="仿宋_GB2312"/>
          <w:sz w:val="28"/>
          <w:szCs w:val="28"/>
        </w:rPr>
        <w:t>万元，实际使用（开支）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177.81</w:t>
      </w:r>
      <w:r>
        <w:rPr>
          <w:rFonts w:hint="eastAsia" w:ascii="仿宋_GB2312" w:hAnsi="宋体" w:eastAsia="仿宋_GB2312"/>
          <w:sz w:val="28"/>
          <w:szCs w:val="28"/>
        </w:rPr>
        <w:t>万元，将成本控制在预算（计划）范围内。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项目的效率性分析</w:t>
      </w:r>
    </w:p>
    <w:p>
      <w:pPr>
        <w:spacing w:line="520" w:lineRule="exact"/>
        <w:ind w:firstLine="560" w:firstLineChars="200"/>
        <w:outlineLvl w:val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项目的实施进度及完成质量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2019年，万宁市人民检察院</w:t>
      </w: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受理公安机关提请批准逮捕各类案件605件913人，同比上升44.7%，批准逮捕529件788人，不批准逮捕80件120人，不捕率为13.2%；受理审查起诉案件595件906人，同比上升31.1%，提起公诉481件684人，不起诉23件36人，不诉率为5%；按管辖规定报送一分院审查起诉66件109人。其中批准逮捕危害国家安全、危害公共安全、故意杀人、经济类犯罪及侵犯财产等案件266件364人，提起公诉283件351人；受理职务犯罪案件15件16人，审结后移送法院起诉12件13人，正在办理3件3人。受理未成年人刑事检察案件94件189人，其中审查逮捕案件52件113人，批捕49件110人，不批准逮捕3件3人，不捕率为4.8 %；受理审查起诉案件42件76人，起诉36件65人，不起诉3件3人，不诉率为6.7%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 xml:space="preserve"> 项目的效益性分析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项目预期目标完成程度</w:t>
      </w:r>
    </w:p>
    <w:p>
      <w:pPr>
        <w:spacing w:line="520" w:lineRule="exact"/>
        <w:ind w:firstLine="560" w:firstLineChars="200"/>
        <w:outlineLvl w:val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2019年，万宁市人民检察院</w:t>
      </w: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受理公安机关提请批准逮捕各类案件605件913人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，以上案件均由聘用制书记员协助检察官录入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协助录入</w:t>
      </w:r>
      <w:r>
        <w:rPr>
          <w:rFonts w:hint="eastAsia" w:ascii="仿宋_GB2312" w:hAnsi="宋体" w:eastAsia="仿宋_GB2312"/>
          <w:sz w:val="28"/>
          <w:szCs w:val="28"/>
        </w:rPr>
        <w:t>案件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数量</w:t>
      </w:r>
      <w:r>
        <w:rPr>
          <w:rFonts w:hint="eastAsia" w:ascii="仿宋_GB2312" w:hAnsi="宋体" w:eastAsia="仿宋_GB2312"/>
          <w:sz w:val="28"/>
          <w:szCs w:val="28"/>
        </w:rPr>
        <w:t>达到预期绩效目标。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2019年，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由聘用制书记员完成整理各项文书档案、行政部门综合档案等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300份以上，均完成预期目标。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项目实施对经济和社会的影响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项目的实施，严格执行预算（计划）经费支出，尽量节省开支，严格控制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公用经费支出</w:t>
      </w:r>
      <w:r>
        <w:rPr>
          <w:rFonts w:hint="eastAsia" w:ascii="仿宋_GB2312" w:hAnsi="宋体" w:eastAsia="仿宋_GB2312"/>
          <w:sz w:val="28"/>
          <w:szCs w:val="28"/>
        </w:rPr>
        <w:t>等，使项目经费使用（开支）控制在成本（预算）范围内，依法实行公诉及监督，为全市经济社会平稳健康发展提供了有力的司法保障。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项目的可持续性分析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聘用制书记员管理项目，</w:t>
      </w:r>
      <w:r>
        <w:rPr>
          <w:rFonts w:hint="eastAsia" w:ascii="仿宋_GB2312" w:hAnsi="宋体" w:eastAsia="仿宋_GB2312"/>
          <w:sz w:val="28"/>
          <w:szCs w:val="28"/>
        </w:rPr>
        <w:t>根据《海南省高级人民法院、海南省人民检察院、海南省财政厅、海南省人力资源和社会保障厅关于印发&lt;海南省人民法院、人民检察院聘用制书记员管理制度改革实施方案&gt;的通知》（琼高法联〔2018〕2号）的规定立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，稳定性好，具有可持续性。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五、</w:t>
      </w:r>
      <w:r>
        <w:rPr>
          <w:rFonts w:hint="eastAsia" w:ascii="仿宋_GB2312" w:hAnsi="宋体" w:eastAsia="仿宋_GB2312"/>
          <w:sz w:val="28"/>
          <w:szCs w:val="28"/>
        </w:rPr>
        <w:t>综合评价情况及评价结论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项目决策：本指标下设5个指标：目标内容（4分）、决策依据（3分)、决策程序（5分）、分配办法（2分），分配结果（6分），标准分值20分。评价得1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目标内容：依据万宁市人民检察院填报的《项目绩效目标表》，项目目标内容明确、细化、量化，得分4分。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决策依据：项目制定了年度工作计划，绩效目标，但未制定中长期实施规划。得分2分。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决策程序：项目符合申报条件；申报批复程序符合管理办法；项目调整履行相关手续，得分4分。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分配办法：无资金管理办法，资金使用存在凭证附件不完整等问题，资金分配不够合理，得分0分。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分配结果：无项目资金管理办法，资金使用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较</w:t>
      </w:r>
      <w:r>
        <w:rPr>
          <w:rFonts w:hint="eastAsia" w:ascii="仿宋_GB2312" w:hAnsi="宋体" w:eastAsia="仿宋_GB2312"/>
          <w:sz w:val="28"/>
          <w:szCs w:val="28"/>
        </w:rPr>
        <w:t>合理，得分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项目管理：本指标下设6个指标：到位率（3分）、到位时效（2分)、资金使用（7分）、财务管理（3分），组织机构（1分），管理制度（9分），标准分值25分。评价得1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到位率：201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聘用制书记员管理</w:t>
      </w:r>
      <w:r>
        <w:rPr>
          <w:rFonts w:hint="eastAsia" w:ascii="仿宋_GB2312" w:hAnsi="宋体" w:eastAsia="仿宋_GB2312"/>
          <w:sz w:val="28"/>
          <w:szCs w:val="28"/>
        </w:rPr>
        <w:t>项目，下达的批复安排项目经费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193.48</w:t>
      </w:r>
      <w:r>
        <w:rPr>
          <w:rFonts w:hint="eastAsia" w:ascii="仿宋_GB2312" w:hAnsi="宋体" w:eastAsia="仿宋_GB2312"/>
          <w:sz w:val="28"/>
          <w:szCs w:val="28"/>
        </w:rPr>
        <w:t>万元，项目资金到位率100%，得分3分。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到位时效：项目资金及时到位，得分2分。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资金使用：项目资金实际支出占预算金额的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92.4</w:t>
      </w:r>
      <w:r>
        <w:rPr>
          <w:rFonts w:hint="eastAsia" w:ascii="仿宋_GB2312" w:hAnsi="宋体" w:eastAsia="仿宋_GB2312"/>
          <w:sz w:val="28"/>
          <w:szCs w:val="28"/>
        </w:rPr>
        <w:t>%，未超预算使用资金，但存在凭证附件不完整等问题，得分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财务管理：万宁市人民检察院制定了财务管理制度，但存在凭证附件不完整等问题，得分2分。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组织机构：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市人民检察院2019年1月至3月设有五局一部和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个派驻检察室，即公诉局、侦查监督局、诉讼监督局、检察业务管理局、检察事务保障局、政治监察部和派驻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兴隆</w:t>
      </w:r>
      <w:r>
        <w:rPr>
          <w:rFonts w:hint="eastAsia" w:ascii="仿宋_GB2312" w:hAnsi="宋体" w:eastAsia="仿宋_GB2312"/>
          <w:sz w:val="28"/>
          <w:szCs w:val="28"/>
        </w:rPr>
        <w:t>检察室、派驻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和乐</w:t>
      </w:r>
      <w:r>
        <w:rPr>
          <w:rFonts w:hint="eastAsia" w:ascii="仿宋_GB2312" w:hAnsi="宋体" w:eastAsia="仿宋_GB2312"/>
          <w:sz w:val="28"/>
          <w:szCs w:val="28"/>
        </w:rPr>
        <w:t>检察室。2019年3月29日，中共海南省委机构编制委员会办公室印发了新的《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万宁</w:t>
      </w:r>
      <w:r>
        <w:rPr>
          <w:rFonts w:hint="eastAsia" w:ascii="仿宋_GB2312" w:hAnsi="宋体" w:eastAsia="仿宋_GB2312"/>
          <w:sz w:val="28"/>
          <w:szCs w:val="28"/>
        </w:rPr>
        <w:t>市人民检察院职能配置、内设机构和人员编制规定》，设有内设机构8个，分别是办公室、政治部、第一检察部、第二检察部、第三检察部、第四检察部、第五检察部、第六检察部，派驻机构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个，分别是派驻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兴隆</w:t>
      </w:r>
      <w:r>
        <w:rPr>
          <w:rFonts w:hint="eastAsia" w:ascii="仿宋_GB2312" w:hAnsi="宋体" w:eastAsia="仿宋_GB2312"/>
          <w:sz w:val="28"/>
          <w:szCs w:val="28"/>
        </w:rPr>
        <w:t>检察室、派驻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和乐</w:t>
      </w:r>
      <w:r>
        <w:rPr>
          <w:rFonts w:hint="eastAsia" w:ascii="仿宋_GB2312" w:hAnsi="宋体" w:eastAsia="仿宋_GB2312"/>
          <w:sz w:val="28"/>
          <w:szCs w:val="28"/>
        </w:rPr>
        <w:t>检察室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机构健全、分工明确。得分1分。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管理制度：万宁市人民检察院无项目管理制度，项目从申请-复核-审核-批准的支付程序到位。得分6分。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/>
          <w:sz w:val="28"/>
          <w:szCs w:val="28"/>
        </w:rPr>
        <w:t>项目绩效：本指标下设9个指标：产出数量（5分）、产出质量（4分)、产出时效（3分）、产出成本（3分），经济效益（8分），社会效益（8分），环境效益（8分），可持续影响（8分），服务对象（8分），标准分值55分。评价得5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产出数量：万宁市人民检察院制定的绩效目标产出数量是：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聘用制书记员协助检察官办案录入案件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500件以上，整理档案200份以上。</w:t>
      </w:r>
      <w:r>
        <w:rPr>
          <w:rFonts w:hint="eastAsia" w:ascii="仿宋_GB2312" w:hAnsi="宋体" w:eastAsia="仿宋_GB2312"/>
          <w:sz w:val="28"/>
          <w:szCs w:val="28"/>
        </w:rPr>
        <w:t>项目产出数量达到绩效目标，得分5分。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产出质量：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聘用制书记员协助检察官录入案件和整理文书档案等，进一步促进检察官提高办案效率，</w:t>
      </w:r>
      <w:r>
        <w:rPr>
          <w:rFonts w:hint="eastAsia" w:ascii="仿宋_GB2312" w:hAnsi="宋体" w:eastAsia="仿宋_GB2312"/>
          <w:sz w:val="28"/>
          <w:szCs w:val="28"/>
        </w:rPr>
        <w:t>得分4分。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产出时效：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聘用制书记员均能协助检察官按时录入案件和整理文书档案、综合档案等，</w:t>
      </w:r>
      <w:r>
        <w:rPr>
          <w:rFonts w:hint="eastAsia" w:ascii="仿宋_GB2312" w:hAnsi="宋体" w:eastAsia="仿宋_GB2312"/>
          <w:sz w:val="28"/>
          <w:szCs w:val="28"/>
        </w:rPr>
        <w:t>得分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产出成本：项目成本（预算）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193.48</w:t>
      </w:r>
      <w:r>
        <w:rPr>
          <w:rFonts w:hint="eastAsia" w:ascii="仿宋_GB2312" w:hAnsi="宋体" w:eastAsia="仿宋_GB2312"/>
          <w:sz w:val="28"/>
          <w:szCs w:val="28"/>
        </w:rPr>
        <w:t>万元，实际使用（开支）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177.81</w:t>
      </w:r>
      <w:r>
        <w:rPr>
          <w:rFonts w:hint="eastAsia" w:ascii="仿宋_GB2312" w:hAnsi="宋体" w:eastAsia="仿宋_GB2312"/>
          <w:sz w:val="28"/>
          <w:szCs w:val="28"/>
        </w:rPr>
        <w:t>万元，将成本控制在预算（计划）范围内，得分3分。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经济效益：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2019年，万宁市人民检察院</w:t>
      </w:r>
      <w:r>
        <w:rPr>
          <w:rFonts w:hint="default" w:ascii="仿宋_GB2312" w:hAnsi="宋体" w:eastAsia="仿宋_GB2312"/>
          <w:sz w:val="28"/>
          <w:szCs w:val="28"/>
          <w:lang w:eastAsia="zh-CN"/>
        </w:rPr>
        <w:t>针对近年来办理的发生在辖区省级森林自然保护区的滥伐林木、非法占用林地等刑事案件中，主管部门没有依法启动行政处罚，责令侵权人恢复生态，国家和社会公共利益持续损害的事实，立案审查3件，依法督促行政机关拆除省级森林自然保护区内违法建设的建设物、构建物6000平方米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得分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社会效益：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聘用制书记员协助检察官办理案件，</w:t>
      </w:r>
      <w:r>
        <w:rPr>
          <w:rFonts w:hint="eastAsia" w:ascii="仿宋_GB2312" w:hAnsi="宋体" w:eastAsia="仿宋_GB2312"/>
          <w:sz w:val="28"/>
          <w:szCs w:val="28"/>
        </w:rPr>
        <w:t>依法打击刑事犯罪，为全市经济社会平稳健康发展提供了有力的司法保障，得分8分。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环境效益：</w:t>
      </w:r>
      <w:r>
        <w:rPr>
          <w:rFonts w:hint="default" w:ascii="仿宋_GB2312" w:hAnsi="宋体" w:eastAsia="仿宋_GB2312"/>
          <w:sz w:val="28"/>
          <w:szCs w:val="28"/>
          <w:lang w:eastAsia="zh-CN"/>
        </w:rPr>
        <w:t>针对近年来办理的发生在辖区省级森林自然保护区的滥伐林木、非法占用林地等刑事案件中，主管部门没有依法启动行政处罚，责令侵权人恢复生态，国家和社会公共利益持续损害的事实，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聘用制书记员协助检察官</w:t>
      </w:r>
      <w:r>
        <w:rPr>
          <w:rFonts w:hint="default" w:ascii="仿宋_GB2312" w:hAnsi="宋体" w:eastAsia="仿宋_GB2312"/>
          <w:sz w:val="28"/>
          <w:szCs w:val="28"/>
          <w:lang w:eastAsia="zh-CN"/>
        </w:rPr>
        <w:t>立案审查3件，依法督促行政机关拆除省级森林自然保护区内违法建设的建设物、构建物6000平方米。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取得了良好的环境效益，得分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可持续影响：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聘用制书记员管理项目，</w:t>
      </w:r>
      <w:r>
        <w:rPr>
          <w:rFonts w:hint="eastAsia" w:ascii="仿宋_GB2312" w:hAnsi="宋体" w:eastAsia="仿宋_GB2312"/>
          <w:sz w:val="28"/>
          <w:szCs w:val="28"/>
        </w:rPr>
        <w:t>根据《海南省高级人民法院、海南省人民检察院、海南省财政厅、海南省人力资源和社会保障厅关于印发&lt;海南省人民法院、人民检察院聘用制书记员管理制度改革实施方案&gt;的通知》（琼高法联〔2018〕2号）的规定立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，为解决案件量大、办案人员不足的问题，省财政厅保障经费需求，稳定性好，具有可持续性，</w:t>
      </w:r>
      <w:r>
        <w:rPr>
          <w:rFonts w:hint="eastAsia" w:ascii="仿宋_GB2312" w:hAnsi="宋体" w:eastAsia="仿宋_GB2312"/>
          <w:sz w:val="28"/>
          <w:szCs w:val="28"/>
        </w:rPr>
        <w:t>得分8分。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服务对象：随机对20名干警进行了调查，调查问卷均有效，平均得分90分，评价得8分。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六、</w:t>
      </w:r>
      <w:r>
        <w:rPr>
          <w:rFonts w:hint="eastAsia" w:ascii="仿宋_GB2312" w:hAnsi="宋体" w:eastAsia="仿宋_GB2312"/>
          <w:sz w:val="28"/>
          <w:szCs w:val="28"/>
        </w:rPr>
        <w:t>主要经验及做法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项目目标明确，机构是健全、分工明确。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项目管理按照《财政专项资金管理办法》和相关政策规定执行，从申请-复核-审核-批准的支付程序到位，手续齐全。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项目资金到位及时，对项目的顺利进展提供了保证。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七、</w:t>
      </w:r>
      <w:r>
        <w:rPr>
          <w:rFonts w:hint="eastAsia" w:ascii="仿宋_GB2312" w:hAnsi="宋体" w:eastAsia="仿宋_GB2312"/>
          <w:sz w:val="28"/>
          <w:szCs w:val="28"/>
        </w:rPr>
        <w:t>存在问题和建议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聘用制书记员业务能力与检察院的业务工作需求存在一定差距，法律知识、笔录制作等还须进一步提高。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</w:t>
      </w:r>
      <w:r>
        <w:rPr>
          <w:rFonts w:hint="eastAsia" w:ascii="仿宋_GB2312" w:hAnsi="宋体" w:eastAsia="仿宋_GB2312"/>
          <w:sz w:val="28"/>
          <w:szCs w:val="28"/>
        </w:rPr>
        <w:t>加强聘用制书记员队伍专业化建设。通过实行定期考核制度，建立有效的奖惩机制，每月对书记员法律知识、速录、归档等技能进行考核并确定等级，定期将考核结果与等级晋升、绩效工资挂钩，从而有效提升聘用制书记员队伍的专业化水平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.项目预算编制不够科学，</w:t>
      </w: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管理制度和项目资金管理办法未建立。应加强培训，提高项目预算编制的科学性，</w:t>
      </w:r>
      <w:r>
        <w:rPr>
          <w:rFonts w:hint="eastAsia" w:ascii="仿宋_GB2312" w:hAnsi="宋体" w:eastAsia="仿宋_GB2312"/>
          <w:sz w:val="28"/>
          <w:szCs w:val="28"/>
        </w:rPr>
        <w:t>建立健全项目管理制度及项目资金管理办法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560" w:firstLineChars="200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聘用制书记员管理</w:t>
      </w:r>
      <w:r>
        <w:rPr>
          <w:rFonts w:hint="eastAsia" w:ascii="仿宋_GB2312" w:hAnsi="宋体" w:eastAsia="仿宋_GB2312"/>
          <w:sz w:val="28"/>
          <w:szCs w:val="28"/>
        </w:rPr>
        <w:t>项目绩效评价表</w:t>
      </w:r>
    </w:p>
    <w:p>
      <w:pPr>
        <w:spacing w:line="520" w:lineRule="exact"/>
        <w:ind w:firstLine="560" w:firstLineChars="200"/>
        <w:jc w:val="center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26"/>
        <w:gridCol w:w="729"/>
        <w:gridCol w:w="508"/>
        <w:gridCol w:w="847"/>
        <w:gridCol w:w="466"/>
        <w:gridCol w:w="1819"/>
        <w:gridCol w:w="1435"/>
        <w:gridCol w:w="652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指标解释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评价内容及指标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实际得分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项目决策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项目指标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公诉及监督工作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目标是否明确、细化、量化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目标明确（1分），目标细化（1分），目标量化（2分）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决策过程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决策依据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决策程序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资金分配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分配办法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办法健全、规范（1分），因素选择全面、合理（1分）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分配结果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资金分配是否符合相关管理办法；分配结果是否合理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项目符合相关分配办法（2分），资金分配合理（4分）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资金到位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到位率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实际到位/计划到位数*100%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根据项目实际到位资金占计划的比重，计划比重计算得3分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到位时效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资金及时到位,若未及时到位,是否影响项目进度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及时到位2分、未及时到位但未影响项目进度1.5分、未及时到位并影响进度0-1分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资金管理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资金使用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资金管理、费用支出等制度是否健全，是否严格执行；会计核算是否规范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财务制度健全（1分），严格执行制度（1分），会计核算规范（1分）。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组织实施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组织机构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机构健全、分工明确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机构健全分工明确1分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管理制度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建立健全项目管理制度，严格执行相关项目管理制度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建立健全项目管理制度2分、严格执行项目管理制度7分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项目绩效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项目产出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产出数量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项目产出数量是否达到绩效目标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对照年初或调整后的绩效目标评价产出数量（按优5分、良3分、中2分、差1分进行评分）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产出质量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项目产出质量是否达到绩效目标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对照年初或调整后的绩效目标评价产出质量（按优4分、良3分、中2分、差1分进行评分）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产出时效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项目产出时效是否达到绩效目标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对照年初或调整后的绩效目标评价产出时效（按优3分、良2分、中1分、差0分进行评分）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产出成本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项目产出成本是否按绩效目标控制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对照年初或调整后的绩效目标评价产出成本（按优3分、良2分、中1分、差0分进行评分）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项目效果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经济效益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项目实施是否产生直接或间接经济效益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对照年初或调整后的绩效目标评价经济效益（8分）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社会效益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项目实施是否产生社会综合效益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对照年初或调整后申报的绩效目标评价社会效益（8分）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环境效益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项目实施是否对环境产生积极或消极影响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对照年初或调整后申报的绩效目标评价环境效益（8分）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可持续影响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项目实施对人、自然、资源是否带来可持续影响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对照年初或调整后申报的绩效目标评价可持续影响（8分）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服务对象满意度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项目预期服务对象对项目实施的满意程度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对照年初或调整后申报的绩效目标评价服务对象满意度（8分）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ind w:firstLine="16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总分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2CD"/>
    <w:rsid w:val="0002768D"/>
    <w:rsid w:val="000454AB"/>
    <w:rsid w:val="00061C34"/>
    <w:rsid w:val="00071BCA"/>
    <w:rsid w:val="00074888"/>
    <w:rsid w:val="001022F7"/>
    <w:rsid w:val="00105C49"/>
    <w:rsid w:val="0011474A"/>
    <w:rsid w:val="00120F9E"/>
    <w:rsid w:val="0013670A"/>
    <w:rsid w:val="001367BE"/>
    <w:rsid w:val="001413A6"/>
    <w:rsid w:val="001441EF"/>
    <w:rsid w:val="00147B6A"/>
    <w:rsid w:val="00147DE3"/>
    <w:rsid w:val="00160254"/>
    <w:rsid w:val="001633FB"/>
    <w:rsid w:val="00175ABC"/>
    <w:rsid w:val="0018473A"/>
    <w:rsid w:val="00191DAE"/>
    <w:rsid w:val="001A59DC"/>
    <w:rsid w:val="001B29F8"/>
    <w:rsid w:val="001B6F86"/>
    <w:rsid w:val="001D7DBA"/>
    <w:rsid w:val="00200647"/>
    <w:rsid w:val="002053BF"/>
    <w:rsid w:val="00210DB5"/>
    <w:rsid w:val="00244E7B"/>
    <w:rsid w:val="00247943"/>
    <w:rsid w:val="00247C56"/>
    <w:rsid w:val="00296CD8"/>
    <w:rsid w:val="002973B3"/>
    <w:rsid w:val="002B1996"/>
    <w:rsid w:val="002B3983"/>
    <w:rsid w:val="002B5275"/>
    <w:rsid w:val="002D1804"/>
    <w:rsid w:val="002E30DB"/>
    <w:rsid w:val="002F489B"/>
    <w:rsid w:val="003367BA"/>
    <w:rsid w:val="00354502"/>
    <w:rsid w:val="00387B74"/>
    <w:rsid w:val="00397C74"/>
    <w:rsid w:val="003B12CC"/>
    <w:rsid w:val="003D145D"/>
    <w:rsid w:val="003E15BA"/>
    <w:rsid w:val="003F1C76"/>
    <w:rsid w:val="003F5E70"/>
    <w:rsid w:val="004001A4"/>
    <w:rsid w:val="00431D47"/>
    <w:rsid w:val="00446102"/>
    <w:rsid w:val="0046166B"/>
    <w:rsid w:val="00465419"/>
    <w:rsid w:val="00466986"/>
    <w:rsid w:val="004836DB"/>
    <w:rsid w:val="00493E15"/>
    <w:rsid w:val="00497411"/>
    <w:rsid w:val="004D20FE"/>
    <w:rsid w:val="004E061D"/>
    <w:rsid w:val="004F0B60"/>
    <w:rsid w:val="004F1415"/>
    <w:rsid w:val="004F5B57"/>
    <w:rsid w:val="005154F8"/>
    <w:rsid w:val="00521517"/>
    <w:rsid w:val="005502B9"/>
    <w:rsid w:val="0057686F"/>
    <w:rsid w:val="005A2548"/>
    <w:rsid w:val="005B5CEB"/>
    <w:rsid w:val="005C1FF1"/>
    <w:rsid w:val="0063116B"/>
    <w:rsid w:val="00653431"/>
    <w:rsid w:val="00654A05"/>
    <w:rsid w:val="0066632E"/>
    <w:rsid w:val="006919FB"/>
    <w:rsid w:val="0069367E"/>
    <w:rsid w:val="006B5ACE"/>
    <w:rsid w:val="006D4DAE"/>
    <w:rsid w:val="006D6D94"/>
    <w:rsid w:val="006F45DF"/>
    <w:rsid w:val="006F7027"/>
    <w:rsid w:val="007032A1"/>
    <w:rsid w:val="00715DDA"/>
    <w:rsid w:val="007516B8"/>
    <w:rsid w:val="007566B0"/>
    <w:rsid w:val="00774FA6"/>
    <w:rsid w:val="00781D04"/>
    <w:rsid w:val="007824F9"/>
    <w:rsid w:val="00795CDA"/>
    <w:rsid w:val="007B593E"/>
    <w:rsid w:val="007C3FF6"/>
    <w:rsid w:val="007E6108"/>
    <w:rsid w:val="007F5FFD"/>
    <w:rsid w:val="00802ADF"/>
    <w:rsid w:val="008073C6"/>
    <w:rsid w:val="00813A9D"/>
    <w:rsid w:val="0082643D"/>
    <w:rsid w:val="008449C5"/>
    <w:rsid w:val="008459A1"/>
    <w:rsid w:val="00861C50"/>
    <w:rsid w:val="00863812"/>
    <w:rsid w:val="00866FD7"/>
    <w:rsid w:val="00872E27"/>
    <w:rsid w:val="0087589C"/>
    <w:rsid w:val="00891FA1"/>
    <w:rsid w:val="008C5C0D"/>
    <w:rsid w:val="008E520C"/>
    <w:rsid w:val="008E698D"/>
    <w:rsid w:val="008F2E82"/>
    <w:rsid w:val="008F7943"/>
    <w:rsid w:val="00927CF5"/>
    <w:rsid w:val="00950C26"/>
    <w:rsid w:val="009872C8"/>
    <w:rsid w:val="009A5F63"/>
    <w:rsid w:val="009B1DAB"/>
    <w:rsid w:val="009B5A84"/>
    <w:rsid w:val="009E185C"/>
    <w:rsid w:val="009F43A0"/>
    <w:rsid w:val="00A17FD6"/>
    <w:rsid w:val="00A263C0"/>
    <w:rsid w:val="00A54D1D"/>
    <w:rsid w:val="00A736A2"/>
    <w:rsid w:val="00AA7CA0"/>
    <w:rsid w:val="00AC42CD"/>
    <w:rsid w:val="00AE7EE5"/>
    <w:rsid w:val="00AF709F"/>
    <w:rsid w:val="00B10F96"/>
    <w:rsid w:val="00B17416"/>
    <w:rsid w:val="00B21CF4"/>
    <w:rsid w:val="00B462B6"/>
    <w:rsid w:val="00B5144D"/>
    <w:rsid w:val="00B62296"/>
    <w:rsid w:val="00BE2418"/>
    <w:rsid w:val="00BE247F"/>
    <w:rsid w:val="00BF0A61"/>
    <w:rsid w:val="00C224E1"/>
    <w:rsid w:val="00C25420"/>
    <w:rsid w:val="00C34DFC"/>
    <w:rsid w:val="00C42D85"/>
    <w:rsid w:val="00C527A4"/>
    <w:rsid w:val="00C53371"/>
    <w:rsid w:val="00C752A0"/>
    <w:rsid w:val="00C75757"/>
    <w:rsid w:val="00C954AB"/>
    <w:rsid w:val="00C96149"/>
    <w:rsid w:val="00CC067D"/>
    <w:rsid w:val="00CD7A76"/>
    <w:rsid w:val="00CF3172"/>
    <w:rsid w:val="00CF5937"/>
    <w:rsid w:val="00D217C9"/>
    <w:rsid w:val="00D53BB0"/>
    <w:rsid w:val="00D82696"/>
    <w:rsid w:val="00D8589A"/>
    <w:rsid w:val="00DA607C"/>
    <w:rsid w:val="00DD0BA8"/>
    <w:rsid w:val="00E16E7A"/>
    <w:rsid w:val="00E267DD"/>
    <w:rsid w:val="00E32C47"/>
    <w:rsid w:val="00E33962"/>
    <w:rsid w:val="00E360BA"/>
    <w:rsid w:val="00E415C5"/>
    <w:rsid w:val="00E42E39"/>
    <w:rsid w:val="00EB0389"/>
    <w:rsid w:val="00EB6AD7"/>
    <w:rsid w:val="00EC06C5"/>
    <w:rsid w:val="00ED1F3E"/>
    <w:rsid w:val="00F24778"/>
    <w:rsid w:val="00F35432"/>
    <w:rsid w:val="00F37840"/>
    <w:rsid w:val="00F548DF"/>
    <w:rsid w:val="00F8156F"/>
    <w:rsid w:val="00FA1399"/>
    <w:rsid w:val="00FA4B7C"/>
    <w:rsid w:val="00FD019E"/>
    <w:rsid w:val="01173005"/>
    <w:rsid w:val="013174FD"/>
    <w:rsid w:val="01753D13"/>
    <w:rsid w:val="01B73D2C"/>
    <w:rsid w:val="01CE0ED3"/>
    <w:rsid w:val="01D247E6"/>
    <w:rsid w:val="02077D74"/>
    <w:rsid w:val="021A6988"/>
    <w:rsid w:val="025A63D5"/>
    <w:rsid w:val="02C9460C"/>
    <w:rsid w:val="02E41B5F"/>
    <w:rsid w:val="033047C8"/>
    <w:rsid w:val="0337610E"/>
    <w:rsid w:val="034916D6"/>
    <w:rsid w:val="03750AD3"/>
    <w:rsid w:val="037C4742"/>
    <w:rsid w:val="039979A1"/>
    <w:rsid w:val="03C20630"/>
    <w:rsid w:val="03F253EE"/>
    <w:rsid w:val="040C6AB4"/>
    <w:rsid w:val="044563F2"/>
    <w:rsid w:val="044A32D3"/>
    <w:rsid w:val="04726B57"/>
    <w:rsid w:val="04874B35"/>
    <w:rsid w:val="04AC792F"/>
    <w:rsid w:val="04B41E51"/>
    <w:rsid w:val="052929B5"/>
    <w:rsid w:val="053065A2"/>
    <w:rsid w:val="058A34E7"/>
    <w:rsid w:val="059C6D97"/>
    <w:rsid w:val="05D64A07"/>
    <w:rsid w:val="05FF2892"/>
    <w:rsid w:val="0617008A"/>
    <w:rsid w:val="06303A33"/>
    <w:rsid w:val="06785562"/>
    <w:rsid w:val="06803B2D"/>
    <w:rsid w:val="06D1064D"/>
    <w:rsid w:val="075C2A18"/>
    <w:rsid w:val="075D65E6"/>
    <w:rsid w:val="07643EC9"/>
    <w:rsid w:val="0786312C"/>
    <w:rsid w:val="08206644"/>
    <w:rsid w:val="083730BA"/>
    <w:rsid w:val="08422A49"/>
    <w:rsid w:val="08742BED"/>
    <w:rsid w:val="0890105E"/>
    <w:rsid w:val="08AF4AC9"/>
    <w:rsid w:val="08B25ED1"/>
    <w:rsid w:val="08B932F2"/>
    <w:rsid w:val="0908760C"/>
    <w:rsid w:val="092F08E3"/>
    <w:rsid w:val="09CF09C5"/>
    <w:rsid w:val="0A2E6B4F"/>
    <w:rsid w:val="0A587C0B"/>
    <w:rsid w:val="0AEC7E21"/>
    <w:rsid w:val="0B070A5A"/>
    <w:rsid w:val="0B407837"/>
    <w:rsid w:val="0B4A21E9"/>
    <w:rsid w:val="0B5D2783"/>
    <w:rsid w:val="0BD245C0"/>
    <w:rsid w:val="0C0A5462"/>
    <w:rsid w:val="0C2D2E90"/>
    <w:rsid w:val="0C885938"/>
    <w:rsid w:val="0C9F0FDA"/>
    <w:rsid w:val="0CCB026C"/>
    <w:rsid w:val="0CCB10E2"/>
    <w:rsid w:val="0D072676"/>
    <w:rsid w:val="0D2F4EC1"/>
    <w:rsid w:val="0D77044A"/>
    <w:rsid w:val="0D773CE6"/>
    <w:rsid w:val="0D805AC6"/>
    <w:rsid w:val="0E122D49"/>
    <w:rsid w:val="0E3B673E"/>
    <w:rsid w:val="0E3F62D2"/>
    <w:rsid w:val="0E741F03"/>
    <w:rsid w:val="0E7E445A"/>
    <w:rsid w:val="0EBB6E1B"/>
    <w:rsid w:val="0EE66749"/>
    <w:rsid w:val="0F0D7A8E"/>
    <w:rsid w:val="0F241DF1"/>
    <w:rsid w:val="0F654228"/>
    <w:rsid w:val="0F8578C2"/>
    <w:rsid w:val="0F87359C"/>
    <w:rsid w:val="0FD7612F"/>
    <w:rsid w:val="0FE6786B"/>
    <w:rsid w:val="101A526B"/>
    <w:rsid w:val="10345149"/>
    <w:rsid w:val="10364B8C"/>
    <w:rsid w:val="104D2274"/>
    <w:rsid w:val="104E2EAF"/>
    <w:rsid w:val="106D2F4E"/>
    <w:rsid w:val="10A647E8"/>
    <w:rsid w:val="10D46A0F"/>
    <w:rsid w:val="113C1288"/>
    <w:rsid w:val="114E699E"/>
    <w:rsid w:val="115F21E8"/>
    <w:rsid w:val="11663098"/>
    <w:rsid w:val="117E0A32"/>
    <w:rsid w:val="11D665A8"/>
    <w:rsid w:val="11EA2A6A"/>
    <w:rsid w:val="122D13DD"/>
    <w:rsid w:val="1250653E"/>
    <w:rsid w:val="12720AA1"/>
    <w:rsid w:val="1288000E"/>
    <w:rsid w:val="12A77CB5"/>
    <w:rsid w:val="12DE6E3D"/>
    <w:rsid w:val="12DF1041"/>
    <w:rsid w:val="12DF2248"/>
    <w:rsid w:val="12F56741"/>
    <w:rsid w:val="133F089E"/>
    <w:rsid w:val="13B1662E"/>
    <w:rsid w:val="13CF7BFB"/>
    <w:rsid w:val="143D2250"/>
    <w:rsid w:val="14685472"/>
    <w:rsid w:val="14E3036B"/>
    <w:rsid w:val="15093294"/>
    <w:rsid w:val="153201D8"/>
    <w:rsid w:val="15445A34"/>
    <w:rsid w:val="154E0160"/>
    <w:rsid w:val="15617EBC"/>
    <w:rsid w:val="1596130B"/>
    <w:rsid w:val="15965E36"/>
    <w:rsid w:val="15CC42B5"/>
    <w:rsid w:val="15D72FA8"/>
    <w:rsid w:val="15D9794F"/>
    <w:rsid w:val="16064366"/>
    <w:rsid w:val="161367AF"/>
    <w:rsid w:val="163D0532"/>
    <w:rsid w:val="16853E9C"/>
    <w:rsid w:val="16D02C0F"/>
    <w:rsid w:val="16D727B2"/>
    <w:rsid w:val="16E91419"/>
    <w:rsid w:val="16F42362"/>
    <w:rsid w:val="173F5F8F"/>
    <w:rsid w:val="174E6AD3"/>
    <w:rsid w:val="17A46F66"/>
    <w:rsid w:val="17C7272C"/>
    <w:rsid w:val="17CA4B7E"/>
    <w:rsid w:val="183D2E8B"/>
    <w:rsid w:val="185171EE"/>
    <w:rsid w:val="1854683E"/>
    <w:rsid w:val="18910970"/>
    <w:rsid w:val="18AA356C"/>
    <w:rsid w:val="18D2768A"/>
    <w:rsid w:val="18DC6402"/>
    <w:rsid w:val="18E063E0"/>
    <w:rsid w:val="18EA4045"/>
    <w:rsid w:val="1933475B"/>
    <w:rsid w:val="19375A90"/>
    <w:rsid w:val="19995857"/>
    <w:rsid w:val="19A259D7"/>
    <w:rsid w:val="19D4424B"/>
    <w:rsid w:val="1A0609B5"/>
    <w:rsid w:val="1A58316F"/>
    <w:rsid w:val="1AF477E9"/>
    <w:rsid w:val="1B040666"/>
    <w:rsid w:val="1B555748"/>
    <w:rsid w:val="1B5566F1"/>
    <w:rsid w:val="1B777E4E"/>
    <w:rsid w:val="1BA770AC"/>
    <w:rsid w:val="1BB80C98"/>
    <w:rsid w:val="1BCB0DA1"/>
    <w:rsid w:val="1BF175F1"/>
    <w:rsid w:val="1C623DA6"/>
    <w:rsid w:val="1C750307"/>
    <w:rsid w:val="1C882BA4"/>
    <w:rsid w:val="1CE069C1"/>
    <w:rsid w:val="1CE25291"/>
    <w:rsid w:val="1D802C66"/>
    <w:rsid w:val="1D92047E"/>
    <w:rsid w:val="1DD60975"/>
    <w:rsid w:val="1DEB78CC"/>
    <w:rsid w:val="1E042347"/>
    <w:rsid w:val="1E566DD4"/>
    <w:rsid w:val="1E91137E"/>
    <w:rsid w:val="1EA062E0"/>
    <w:rsid w:val="1EA32760"/>
    <w:rsid w:val="1EBA3EFD"/>
    <w:rsid w:val="1EDA7361"/>
    <w:rsid w:val="1EFF59C4"/>
    <w:rsid w:val="1F0F6512"/>
    <w:rsid w:val="1F454F7A"/>
    <w:rsid w:val="1F702042"/>
    <w:rsid w:val="1F861CA3"/>
    <w:rsid w:val="1F931F33"/>
    <w:rsid w:val="1F983DB0"/>
    <w:rsid w:val="1FB548B3"/>
    <w:rsid w:val="200B758B"/>
    <w:rsid w:val="20220351"/>
    <w:rsid w:val="2023692B"/>
    <w:rsid w:val="20B44913"/>
    <w:rsid w:val="20BB1067"/>
    <w:rsid w:val="20E450A9"/>
    <w:rsid w:val="20E46230"/>
    <w:rsid w:val="20F77C77"/>
    <w:rsid w:val="20FE5F39"/>
    <w:rsid w:val="21174809"/>
    <w:rsid w:val="21434E8E"/>
    <w:rsid w:val="215E2A8B"/>
    <w:rsid w:val="21681749"/>
    <w:rsid w:val="21AB71AB"/>
    <w:rsid w:val="21AF5E0E"/>
    <w:rsid w:val="22072775"/>
    <w:rsid w:val="22491735"/>
    <w:rsid w:val="22921D88"/>
    <w:rsid w:val="22F14EDE"/>
    <w:rsid w:val="22F91B50"/>
    <w:rsid w:val="230E498E"/>
    <w:rsid w:val="23133A81"/>
    <w:rsid w:val="23343879"/>
    <w:rsid w:val="234037D8"/>
    <w:rsid w:val="23887B2A"/>
    <w:rsid w:val="23A947E6"/>
    <w:rsid w:val="24413FDD"/>
    <w:rsid w:val="24BC028B"/>
    <w:rsid w:val="24D16F7D"/>
    <w:rsid w:val="24D506BF"/>
    <w:rsid w:val="24D97925"/>
    <w:rsid w:val="24DB195C"/>
    <w:rsid w:val="250C5A88"/>
    <w:rsid w:val="25885E7F"/>
    <w:rsid w:val="25BE4F93"/>
    <w:rsid w:val="25BF1CED"/>
    <w:rsid w:val="26212373"/>
    <w:rsid w:val="26370DA8"/>
    <w:rsid w:val="26555D5B"/>
    <w:rsid w:val="26710174"/>
    <w:rsid w:val="267F0E54"/>
    <w:rsid w:val="26912DBD"/>
    <w:rsid w:val="269F228F"/>
    <w:rsid w:val="26B47BF1"/>
    <w:rsid w:val="26C54A05"/>
    <w:rsid w:val="26CF1ED9"/>
    <w:rsid w:val="272B3FD7"/>
    <w:rsid w:val="27467E37"/>
    <w:rsid w:val="275F4D92"/>
    <w:rsid w:val="27934A6E"/>
    <w:rsid w:val="27A0680F"/>
    <w:rsid w:val="28987A52"/>
    <w:rsid w:val="28B86031"/>
    <w:rsid w:val="28BA04C8"/>
    <w:rsid w:val="28C23A10"/>
    <w:rsid w:val="28E50AEA"/>
    <w:rsid w:val="28FF3C96"/>
    <w:rsid w:val="29383818"/>
    <w:rsid w:val="29742E32"/>
    <w:rsid w:val="299E7ABE"/>
    <w:rsid w:val="29C82AD1"/>
    <w:rsid w:val="29D206A2"/>
    <w:rsid w:val="29F327AD"/>
    <w:rsid w:val="29F74392"/>
    <w:rsid w:val="2A370D04"/>
    <w:rsid w:val="2A3F4BB2"/>
    <w:rsid w:val="2A4A2999"/>
    <w:rsid w:val="2A551008"/>
    <w:rsid w:val="2A690224"/>
    <w:rsid w:val="2AA80094"/>
    <w:rsid w:val="2AD306B7"/>
    <w:rsid w:val="2B335B6C"/>
    <w:rsid w:val="2B394E20"/>
    <w:rsid w:val="2B6131F7"/>
    <w:rsid w:val="2B631008"/>
    <w:rsid w:val="2B6B09D8"/>
    <w:rsid w:val="2B882664"/>
    <w:rsid w:val="2B981C45"/>
    <w:rsid w:val="2BAE3215"/>
    <w:rsid w:val="2BDB53BB"/>
    <w:rsid w:val="2C02430B"/>
    <w:rsid w:val="2C230AC7"/>
    <w:rsid w:val="2CB441F5"/>
    <w:rsid w:val="2CC200A4"/>
    <w:rsid w:val="2CCC2937"/>
    <w:rsid w:val="2CE67432"/>
    <w:rsid w:val="2D3D6C24"/>
    <w:rsid w:val="2D4018D8"/>
    <w:rsid w:val="2D457ABC"/>
    <w:rsid w:val="2D516111"/>
    <w:rsid w:val="2D56093E"/>
    <w:rsid w:val="2D6C031E"/>
    <w:rsid w:val="2D9D5AB6"/>
    <w:rsid w:val="2DDC4EE6"/>
    <w:rsid w:val="2DFF4B73"/>
    <w:rsid w:val="2E3A0988"/>
    <w:rsid w:val="2E3B26E4"/>
    <w:rsid w:val="2E3B7637"/>
    <w:rsid w:val="2E4F47F2"/>
    <w:rsid w:val="2E5B1E1E"/>
    <w:rsid w:val="2E647708"/>
    <w:rsid w:val="2EB852C9"/>
    <w:rsid w:val="2ECC2722"/>
    <w:rsid w:val="2FB87279"/>
    <w:rsid w:val="30171AD8"/>
    <w:rsid w:val="304B06E3"/>
    <w:rsid w:val="30A10D66"/>
    <w:rsid w:val="30F7306C"/>
    <w:rsid w:val="316A35D9"/>
    <w:rsid w:val="317F6BDD"/>
    <w:rsid w:val="31EF0006"/>
    <w:rsid w:val="32067C42"/>
    <w:rsid w:val="321B7FCA"/>
    <w:rsid w:val="32280526"/>
    <w:rsid w:val="322A0E62"/>
    <w:rsid w:val="327C5FB2"/>
    <w:rsid w:val="32BE29E5"/>
    <w:rsid w:val="32E35A1C"/>
    <w:rsid w:val="32F55C26"/>
    <w:rsid w:val="33315F6D"/>
    <w:rsid w:val="33A32DD1"/>
    <w:rsid w:val="33A65341"/>
    <w:rsid w:val="33E25034"/>
    <w:rsid w:val="33E60110"/>
    <w:rsid w:val="33E60D2F"/>
    <w:rsid w:val="34034F03"/>
    <w:rsid w:val="341F34E5"/>
    <w:rsid w:val="343D53EE"/>
    <w:rsid w:val="34706303"/>
    <w:rsid w:val="34AE1069"/>
    <w:rsid w:val="34D16204"/>
    <w:rsid w:val="353E4813"/>
    <w:rsid w:val="35665BD5"/>
    <w:rsid w:val="357B3E4D"/>
    <w:rsid w:val="35AA1D06"/>
    <w:rsid w:val="35BC0FE3"/>
    <w:rsid w:val="35C8051F"/>
    <w:rsid w:val="364A5DBE"/>
    <w:rsid w:val="365C14C1"/>
    <w:rsid w:val="36610302"/>
    <w:rsid w:val="36992B6C"/>
    <w:rsid w:val="36AF051D"/>
    <w:rsid w:val="36E12168"/>
    <w:rsid w:val="36F72279"/>
    <w:rsid w:val="37454A7C"/>
    <w:rsid w:val="374832D4"/>
    <w:rsid w:val="37803411"/>
    <w:rsid w:val="37826298"/>
    <w:rsid w:val="378F05D4"/>
    <w:rsid w:val="37BE77D0"/>
    <w:rsid w:val="37F22845"/>
    <w:rsid w:val="384C5A9C"/>
    <w:rsid w:val="38785269"/>
    <w:rsid w:val="389F0EDF"/>
    <w:rsid w:val="395026E3"/>
    <w:rsid w:val="39BB3C0E"/>
    <w:rsid w:val="3A08268A"/>
    <w:rsid w:val="3A232035"/>
    <w:rsid w:val="3A244676"/>
    <w:rsid w:val="3ABB054B"/>
    <w:rsid w:val="3AC5439A"/>
    <w:rsid w:val="3AFD78D2"/>
    <w:rsid w:val="3B401C5D"/>
    <w:rsid w:val="3B8D21C1"/>
    <w:rsid w:val="3B9B1B5B"/>
    <w:rsid w:val="3BB72C16"/>
    <w:rsid w:val="3BC00BAE"/>
    <w:rsid w:val="3BDB6104"/>
    <w:rsid w:val="3C03593B"/>
    <w:rsid w:val="3C0A0495"/>
    <w:rsid w:val="3C3865EE"/>
    <w:rsid w:val="3C683CBF"/>
    <w:rsid w:val="3C86374E"/>
    <w:rsid w:val="3CA37707"/>
    <w:rsid w:val="3CA70C41"/>
    <w:rsid w:val="3CB961A4"/>
    <w:rsid w:val="3CE85D38"/>
    <w:rsid w:val="3D4A38F5"/>
    <w:rsid w:val="3D4A5490"/>
    <w:rsid w:val="3E075BB1"/>
    <w:rsid w:val="3E0E7F23"/>
    <w:rsid w:val="3E24535F"/>
    <w:rsid w:val="3E937041"/>
    <w:rsid w:val="3E9A0CC5"/>
    <w:rsid w:val="3EA94B3A"/>
    <w:rsid w:val="3EAD7429"/>
    <w:rsid w:val="3EBB0727"/>
    <w:rsid w:val="3ED545E1"/>
    <w:rsid w:val="3EDF09F6"/>
    <w:rsid w:val="3EFB5F8F"/>
    <w:rsid w:val="3F0F3459"/>
    <w:rsid w:val="3F19772C"/>
    <w:rsid w:val="3F35320B"/>
    <w:rsid w:val="3F6A2A79"/>
    <w:rsid w:val="3F6C442F"/>
    <w:rsid w:val="3F751A02"/>
    <w:rsid w:val="3F875CC7"/>
    <w:rsid w:val="3F90677D"/>
    <w:rsid w:val="40121A03"/>
    <w:rsid w:val="409F1041"/>
    <w:rsid w:val="40B64878"/>
    <w:rsid w:val="40DF0537"/>
    <w:rsid w:val="410F150F"/>
    <w:rsid w:val="411310E9"/>
    <w:rsid w:val="41320BF8"/>
    <w:rsid w:val="415D3F0D"/>
    <w:rsid w:val="419B3DBD"/>
    <w:rsid w:val="41CF6FAF"/>
    <w:rsid w:val="41EF74B3"/>
    <w:rsid w:val="421D2D4C"/>
    <w:rsid w:val="42387756"/>
    <w:rsid w:val="42A101F6"/>
    <w:rsid w:val="42B67356"/>
    <w:rsid w:val="42BC7CD1"/>
    <w:rsid w:val="42F751B1"/>
    <w:rsid w:val="4301204B"/>
    <w:rsid w:val="430E21B5"/>
    <w:rsid w:val="432040BE"/>
    <w:rsid w:val="4325349B"/>
    <w:rsid w:val="433566B0"/>
    <w:rsid w:val="43670D14"/>
    <w:rsid w:val="43744AF0"/>
    <w:rsid w:val="43833226"/>
    <w:rsid w:val="43A34867"/>
    <w:rsid w:val="43B60514"/>
    <w:rsid w:val="43F91BE4"/>
    <w:rsid w:val="440E222F"/>
    <w:rsid w:val="441E44D8"/>
    <w:rsid w:val="44DB7D79"/>
    <w:rsid w:val="44E93C6A"/>
    <w:rsid w:val="44EF0E2A"/>
    <w:rsid w:val="452C146F"/>
    <w:rsid w:val="45823065"/>
    <w:rsid w:val="45D75A03"/>
    <w:rsid w:val="45D97882"/>
    <w:rsid w:val="45F500D2"/>
    <w:rsid w:val="46012EFD"/>
    <w:rsid w:val="46204A2B"/>
    <w:rsid w:val="46237301"/>
    <w:rsid w:val="466669C8"/>
    <w:rsid w:val="467408F0"/>
    <w:rsid w:val="4682517E"/>
    <w:rsid w:val="46913A3D"/>
    <w:rsid w:val="46BC2ACC"/>
    <w:rsid w:val="46C0658F"/>
    <w:rsid w:val="46E348E4"/>
    <w:rsid w:val="46EB0F10"/>
    <w:rsid w:val="470E0C7E"/>
    <w:rsid w:val="47953A25"/>
    <w:rsid w:val="47B778FF"/>
    <w:rsid w:val="47CC3315"/>
    <w:rsid w:val="48F758C6"/>
    <w:rsid w:val="490726CC"/>
    <w:rsid w:val="491307CA"/>
    <w:rsid w:val="49D763AA"/>
    <w:rsid w:val="49DA18A8"/>
    <w:rsid w:val="49DB4C8E"/>
    <w:rsid w:val="4A037248"/>
    <w:rsid w:val="4A304E9B"/>
    <w:rsid w:val="4A343AC6"/>
    <w:rsid w:val="4A595604"/>
    <w:rsid w:val="4A780CFA"/>
    <w:rsid w:val="4AFB32D1"/>
    <w:rsid w:val="4B2422C8"/>
    <w:rsid w:val="4B977F94"/>
    <w:rsid w:val="4C001D83"/>
    <w:rsid w:val="4C1719FB"/>
    <w:rsid w:val="4C675320"/>
    <w:rsid w:val="4CA929B1"/>
    <w:rsid w:val="4CB70B2A"/>
    <w:rsid w:val="4CCD69E4"/>
    <w:rsid w:val="4CE154BF"/>
    <w:rsid w:val="4CF24444"/>
    <w:rsid w:val="4D2C517E"/>
    <w:rsid w:val="4D3A40A7"/>
    <w:rsid w:val="4D3F4100"/>
    <w:rsid w:val="4D493056"/>
    <w:rsid w:val="4D870395"/>
    <w:rsid w:val="4D964E7F"/>
    <w:rsid w:val="4D9A1B96"/>
    <w:rsid w:val="4DAB66D4"/>
    <w:rsid w:val="4DD119B5"/>
    <w:rsid w:val="4DF87573"/>
    <w:rsid w:val="4E065F1E"/>
    <w:rsid w:val="4E4F2082"/>
    <w:rsid w:val="4EDF2B0A"/>
    <w:rsid w:val="4EE16EE4"/>
    <w:rsid w:val="4EEE43CD"/>
    <w:rsid w:val="4F5C2A4D"/>
    <w:rsid w:val="4F7863B1"/>
    <w:rsid w:val="4FA15076"/>
    <w:rsid w:val="4FA64B17"/>
    <w:rsid w:val="4FD01F46"/>
    <w:rsid w:val="4FE12D92"/>
    <w:rsid w:val="4FF628C0"/>
    <w:rsid w:val="50133769"/>
    <w:rsid w:val="504411E4"/>
    <w:rsid w:val="506F2641"/>
    <w:rsid w:val="50883FC6"/>
    <w:rsid w:val="50902D04"/>
    <w:rsid w:val="51246F8D"/>
    <w:rsid w:val="51861997"/>
    <w:rsid w:val="51935EF5"/>
    <w:rsid w:val="51B8338E"/>
    <w:rsid w:val="520140BB"/>
    <w:rsid w:val="520F59C9"/>
    <w:rsid w:val="5210475F"/>
    <w:rsid w:val="523D00D0"/>
    <w:rsid w:val="523F45F8"/>
    <w:rsid w:val="525821A0"/>
    <w:rsid w:val="525F11FC"/>
    <w:rsid w:val="52A46037"/>
    <w:rsid w:val="5310475F"/>
    <w:rsid w:val="5312373A"/>
    <w:rsid w:val="532C336D"/>
    <w:rsid w:val="53365A18"/>
    <w:rsid w:val="534B70F9"/>
    <w:rsid w:val="53742F2C"/>
    <w:rsid w:val="538E0B6C"/>
    <w:rsid w:val="53C603C6"/>
    <w:rsid w:val="53C91EA5"/>
    <w:rsid w:val="53FC390A"/>
    <w:rsid w:val="54576338"/>
    <w:rsid w:val="546C28AD"/>
    <w:rsid w:val="54B9732B"/>
    <w:rsid w:val="54DE4622"/>
    <w:rsid w:val="551F7FA5"/>
    <w:rsid w:val="5537235E"/>
    <w:rsid w:val="5558732E"/>
    <w:rsid w:val="55870494"/>
    <w:rsid w:val="55E14932"/>
    <w:rsid w:val="55E2002D"/>
    <w:rsid w:val="55F93634"/>
    <w:rsid w:val="56006209"/>
    <w:rsid w:val="562645A9"/>
    <w:rsid w:val="563765DA"/>
    <w:rsid w:val="564072D5"/>
    <w:rsid w:val="564A34B3"/>
    <w:rsid w:val="56555D0B"/>
    <w:rsid w:val="56943F31"/>
    <w:rsid w:val="5699084B"/>
    <w:rsid w:val="56FA6A04"/>
    <w:rsid w:val="5705655F"/>
    <w:rsid w:val="57220423"/>
    <w:rsid w:val="57331993"/>
    <w:rsid w:val="576E345A"/>
    <w:rsid w:val="57B0003E"/>
    <w:rsid w:val="57BE3D6A"/>
    <w:rsid w:val="57CC3259"/>
    <w:rsid w:val="58302377"/>
    <w:rsid w:val="583D45EC"/>
    <w:rsid w:val="58481928"/>
    <w:rsid w:val="587E7F27"/>
    <w:rsid w:val="58815554"/>
    <w:rsid w:val="58B32834"/>
    <w:rsid w:val="58E563C6"/>
    <w:rsid w:val="590C2BD0"/>
    <w:rsid w:val="5911245C"/>
    <w:rsid w:val="59651AA7"/>
    <w:rsid w:val="596D40EF"/>
    <w:rsid w:val="59732E8B"/>
    <w:rsid w:val="597C3AD5"/>
    <w:rsid w:val="598E7B7E"/>
    <w:rsid w:val="59BC54A6"/>
    <w:rsid w:val="5A0070B3"/>
    <w:rsid w:val="5A587C27"/>
    <w:rsid w:val="5A6732F8"/>
    <w:rsid w:val="5AC6496F"/>
    <w:rsid w:val="5AE12A7C"/>
    <w:rsid w:val="5AEE44BD"/>
    <w:rsid w:val="5B14648F"/>
    <w:rsid w:val="5B1F6D55"/>
    <w:rsid w:val="5B27117D"/>
    <w:rsid w:val="5B353285"/>
    <w:rsid w:val="5B794C89"/>
    <w:rsid w:val="5B83761F"/>
    <w:rsid w:val="5BA22B73"/>
    <w:rsid w:val="5BBC35AE"/>
    <w:rsid w:val="5BC442BB"/>
    <w:rsid w:val="5BCD6CCF"/>
    <w:rsid w:val="5C3E2C93"/>
    <w:rsid w:val="5CB04966"/>
    <w:rsid w:val="5CC32DA7"/>
    <w:rsid w:val="5D2A5BE3"/>
    <w:rsid w:val="5D315C9B"/>
    <w:rsid w:val="5DC07B98"/>
    <w:rsid w:val="5E0836F5"/>
    <w:rsid w:val="5E463B74"/>
    <w:rsid w:val="5E594677"/>
    <w:rsid w:val="5E6D5037"/>
    <w:rsid w:val="5EAB50EB"/>
    <w:rsid w:val="5ECB2AA9"/>
    <w:rsid w:val="5ED83C4E"/>
    <w:rsid w:val="5EF6245A"/>
    <w:rsid w:val="5F002239"/>
    <w:rsid w:val="5F031EBD"/>
    <w:rsid w:val="5F0B592F"/>
    <w:rsid w:val="5F666A1A"/>
    <w:rsid w:val="5F8D7F58"/>
    <w:rsid w:val="5FA5007F"/>
    <w:rsid w:val="5FAC7E17"/>
    <w:rsid w:val="5FF247B9"/>
    <w:rsid w:val="601C7C72"/>
    <w:rsid w:val="60323FD3"/>
    <w:rsid w:val="607C37CC"/>
    <w:rsid w:val="61170AA4"/>
    <w:rsid w:val="61333707"/>
    <w:rsid w:val="613E579C"/>
    <w:rsid w:val="61A22002"/>
    <w:rsid w:val="61AC3EE8"/>
    <w:rsid w:val="61FB1AC2"/>
    <w:rsid w:val="61FF6A9E"/>
    <w:rsid w:val="62286761"/>
    <w:rsid w:val="62322FE2"/>
    <w:rsid w:val="62355269"/>
    <w:rsid w:val="628B67B0"/>
    <w:rsid w:val="629C4A85"/>
    <w:rsid w:val="62B71840"/>
    <w:rsid w:val="631A391A"/>
    <w:rsid w:val="63222C61"/>
    <w:rsid w:val="632E6240"/>
    <w:rsid w:val="63367655"/>
    <w:rsid w:val="637C6376"/>
    <w:rsid w:val="63A81F06"/>
    <w:rsid w:val="63BF1000"/>
    <w:rsid w:val="63CF262F"/>
    <w:rsid w:val="641A345D"/>
    <w:rsid w:val="64A41ED3"/>
    <w:rsid w:val="65546EC8"/>
    <w:rsid w:val="65727522"/>
    <w:rsid w:val="658536C9"/>
    <w:rsid w:val="65D82D5D"/>
    <w:rsid w:val="65EC20C8"/>
    <w:rsid w:val="66784964"/>
    <w:rsid w:val="66AF179E"/>
    <w:rsid w:val="67010B87"/>
    <w:rsid w:val="670941DC"/>
    <w:rsid w:val="671F52E8"/>
    <w:rsid w:val="675565C2"/>
    <w:rsid w:val="6781513E"/>
    <w:rsid w:val="67DC359D"/>
    <w:rsid w:val="67E95526"/>
    <w:rsid w:val="67FD7DDE"/>
    <w:rsid w:val="680D4555"/>
    <w:rsid w:val="68137F67"/>
    <w:rsid w:val="681B29F3"/>
    <w:rsid w:val="683E3436"/>
    <w:rsid w:val="685613FF"/>
    <w:rsid w:val="68691B74"/>
    <w:rsid w:val="68E618C1"/>
    <w:rsid w:val="6913540E"/>
    <w:rsid w:val="692D67A0"/>
    <w:rsid w:val="694A41C0"/>
    <w:rsid w:val="6A1C6DEE"/>
    <w:rsid w:val="6A6B1431"/>
    <w:rsid w:val="6AAF48C4"/>
    <w:rsid w:val="6AB766E4"/>
    <w:rsid w:val="6ACD34DB"/>
    <w:rsid w:val="6AD90AA6"/>
    <w:rsid w:val="6B0103AA"/>
    <w:rsid w:val="6B085863"/>
    <w:rsid w:val="6B556FCF"/>
    <w:rsid w:val="6B6337A3"/>
    <w:rsid w:val="6B6B120D"/>
    <w:rsid w:val="6BA55CDE"/>
    <w:rsid w:val="6BB319BD"/>
    <w:rsid w:val="6BB42F5E"/>
    <w:rsid w:val="6C2A3A73"/>
    <w:rsid w:val="6C4468F1"/>
    <w:rsid w:val="6C45139D"/>
    <w:rsid w:val="6C5773BB"/>
    <w:rsid w:val="6C624625"/>
    <w:rsid w:val="6D2023A8"/>
    <w:rsid w:val="6D221253"/>
    <w:rsid w:val="6D424C44"/>
    <w:rsid w:val="6D8369F4"/>
    <w:rsid w:val="6D851866"/>
    <w:rsid w:val="6D930A68"/>
    <w:rsid w:val="6D967646"/>
    <w:rsid w:val="6DAA754E"/>
    <w:rsid w:val="6DF7512E"/>
    <w:rsid w:val="6E2673C2"/>
    <w:rsid w:val="6EBF093B"/>
    <w:rsid w:val="6EE36536"/>
    <w:rsid w:val="6EEC0B94"/>
    <w:rsid w:val="6EFA68EE"/>
    <w:rsid w:val="6F38071F"/>
    <w:rsid w:val="6F425D56"/>
    <w:rsid w:val="6F555661"/>
    <w:rsid w:val="6F6922E5"/>
    <w:rsid w:val="6F910B32"/>
    <w:rsid w:val="6F9778E1"/>
    <w:rsid w:val="6F99366C"/>
    <w:rsid w:val="6FAD4168"/>
    <w:rsid w:val="6FDE2433"/>
    <w:rsid w:val="704E195C"/>
    <w:rsid w:val="70EC196A"/>
    <w:rsid w:val="71704F10"/>
    <w:rsid w:val="71910D0A"/>
    <w:rsid w:val="71EE1627"/>
    <w:rsid w:val="720459D5"/>
    <w:rsid w:val="72753A1B"/>
    <w:rsid w:val="72C20305"/>
    <w:rsid w:val="731F046F"/>
    <w:rsid w:val="736C1C0E"/>
    <w:rsid w:val="73B8260A"/>
    <w:rsid w:val="73C72D73"/>
    <w:rsid w:val="74590F89"/>
    <w:rsid w:val="745C76C7"/>
    <w:rsid w:val="748224B6"/>
    <w:rsid w:val="74A04A2B"/>
    <w:rsid w:val="74A70886"/>
    <w:rsid w:val="75071EE7"/>
    <w:rsid w:val="75273C35"/>
    <w:rsid w:val="755A4085"/>
    <w:rsid w:val="75BA1BB9"/>
    <w:rsid w:val="766E3665"/>
    <w:rsid w:val="76A12E76"/>
    <w:rsid w:val="76CC6C03"/>
    <w:rsid w:val="76E0776F"/>
    <w:rsid w:val="771362F3"/>
    <w:rsid w:val="772977C0"/>
    <w:rsid w:val="77494144"/>
    <w:rsid w:val="77A42D97"/>
    <w:rsid w:val="77E03EE0"/>
    <w:rsid w:val="78040077"/>
    <w:rsid w:val="78253E82"/>
    <w:rsid w:val="788F4A1C"/>
    <w:rsid w:val="789B1C04"/>
    <w:rsid w:val="78C33422"/>
    <w:rsid w:val="78D84A21"/>
    <w:rsid w:val="78F001C0"/>
    <w:rsid w:val="78FF24A3"/>
    <w:rsid w:val="7911487E"/>
    <w:rsid w:val="7948355A"/>
    <w:rsid w:val="79775010"/>
    <w:rsid w:val="79AB3452"/>
    <w:rsid w:val="79B20B12"/>
    <w:rsid w:val="7A2F3BDD"/>
    <w:rsid w:val="7A553A00"/>
    <w:rsid w:val="7A5B0AAF"/>
    <w:rsid w:val="7A95000C"/>
    <w:rsid w:val="7AC93997"/>
    <w:rsid w:val="7AE141B3"/>
    <w:rsid w:val="7AE15F02"/>
    <w:rsid w:val="7B020E7F"/>
    <w:rsid w:val="7B230FD0"/>
    <w:rsid w:val="7B9D19C7"/>
    <w:rsid w:val="7BD11A55"/>
    <w:rsid w:val="7BE62C19"/>
    <w:rsid w:val="7C055D94"/>
    <w:rsid w:val="7C43199F"/>
    <w:rsid w:val="7C8534AA"/>
    <w:rsid w:val="7CA7484A"/>
    <w:rsid w:val="7D0529A7"/>
    <w:rsid w:val="7D433557"/>
    <w:rsid w:val="7D64149E"/>
    <w:rsid w:val="7D781D5F"/>
    <w:rsid w:val="7DA1485D"/>
    <w:rsid w:val="7DE52BD8"/>
    <w:rsid w:val="7E78304D"/>
    <w:rsid w:val="7E8B4852"/>
    <w:rsid w:val="7E8F5218"/>
    <w:rsid w:val="7E9604DD"/>
    <w:rsid w:val="7EB65BDF"/>
    <w:rsid w:val="7EBC1BB5"/>
    <w:rsid w:val="7EE621F0"/>
    <w:rsid w:val="7EEB3D8D"/>
    <w:rsid w:val="7EFD61A3"/>
    <w:rsid w:val="7F01084A"/>
    <w:rsid w:val="7F3736D7"/>
    <w:rsid w:val="7FC64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customStyle="1" w:styleId="8">
    <w:name w:val="列出段落1"/>
    <w:basedOn w:val="1"/>
    <w:qFormat/>
    <w:uiPriority w:val="0"/>
    <w:pPr>
      <w:spacing w:line="360" w:lineRule="auto"/>
      <w:ind w:firstLine="420" w:firstLineChars="200"/>
    </w:pPr>
    <w:rPr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1248</Words>
  <Characters>7116</Characters>
  <Lines>59</Lines>
  <Paragraphs>16</Paragraphs>
  <TotalTime>13</TotalTime>
  <ScaleCrop>false</ScaleCrop>
  <LinksUpToDate>false</LinksUpToDate>
  <CharactersWithSpaces>8348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2017-07-20T00:39:00Z</dcterms:created>
  <dc:creator>Administrator</dc:creator>
  <cp:lastModifiedBy>大家长</cp:lastModifiedBy>
  <cp:lastPrinted>2020-06-27T10:49:00Z</cp:lastPrinted>
  <dcterms:modified xsi:type="dcterms:W3CDTF">2020-06-30T00:49:48Z</dcterms:modified>
  <dc:title>财政支出项目绩效评价报告</dc:title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