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kinsoku/>
        <w:wordWrap/>
        <w:overflowPunct/>
        <w:topLinePunct w:val="0"/>
        <w:autoSpaceDE/>
        <w:autoSpaceDN/>
        <w:bidi w:val="0"/>
        <w:snapToGrid w:val="0"/>
        <w:spacing w:before="19" w:afterAutospacing="0" w:line="240" w:lineRule="auto"/>
        <w:jc w:val="both"/>
        <w:textAlignment w:val="auto"/>
        <w:outlineLvl w:val="0"/>
        <w:rPr>
          <w:rFonts w:hAnsi="宋体"/>
          <w:b w:val="0"/>
          <w:bCs w:val="0"/>
          <w:sz w:val="32"/>
          <w:szCs w:val="32"/>
        </w:rPr>
      </w:pPr>
      <w:bookmarkStart w:id="0" w:name="_Toc277"/>
      <w:bookmarkStart w:id="1" w:name="_Toc171325093"/>
      <w:bookmarkStart w:id="2" w:name="_Toc171325094"/>
      <w:bookmarkStart w:id="3" w:name="_Toc17504"/>
      <w:bookmarkStart w:id="4" w:name="_Toc18508"/>
      <w:bookmarkStart w:id="5" w:name="_Toc32407"/>
      <w:bookmarkStart w:id="6" w:name="_Toc17806"/>
      <w:r>
        <w:rPr>
          <w:rFonts w:hint="eastAsia" w:ascii="宋体" w:hAnsi="宋体"/>
          <w:b w:val="0"/>
          <w:bCs w:val="0"/>
          <w:sz w:val="32"/>
          <w:szCs w:val="32"/>
        </w:rPr>
        <w:t>合同编号：</w:t>
      </w:r>
      <w:bookmarkEnd w:id="0"/>
    </w:p>
    <w:p>
      <w:pPr>
        <w:keepNext w:val="0"/>
        <w:keepLines w:val="0"/>
        <w:widowControl w:val="0"/>
        <w:kinsoku/>
        <w:wordWrap/>
        <w:overflowPunct/>
        <w:topLinePunct w:val="0"/>
        <w:autoSpaceDE/>
        <w:autoSpaceDN/>
        <w:bidi w:val="0"/>
        <w:adjustRightInd w:val="0"/>
        <w:snapToGrid w:val="0"/>
        <w:spacing w:afterAutospacing="0" w:line="240" w:lineRule="auto"/>
        <w:jc w:val="left"/>
        <w:textAlignment w:val="auto"/>
        <w:rPr>
          <w:rFonts w:ascii="宋体" w:hAnsi="宋体" w:cs="华文中宋"/>
          <w:sz w:val="24"/>
        </w:rPr>
      </w:pPr>
      <w:bookmarkStart w:id="7" w:name="_Toc162083537"/>
      <w:bookmarkStart w:id="8" w:name="_Toc22806"/>
    </w:p>
    <w:p>
      <w:pPr>
        <w:keepNext w:val="0"/>
        <w:keepLines w:val="0"/>
        <w:widowControl w:val="0"/>
        <w:kinsoku/>
        <w:wordWrap/>
        <w:overflowPunct/>
        <w:topLinePunct w:val="0"/>
        <w:autoSpaceDE/>
        <w:autoSpaceDN/>
        <w:bidi w:val="0"/>
        <w:adjustRightInd w:val="0"/>
        <w:snapToGrid w:val="0"/>
        <w:spacing w:afterAutospacing="0" w:line="240" w:lineRule="auto"/>
        <w:jc w:val="center"/>
        <w:textAlignment w:val="auto"/>
        <w:rPr>
          <w:rFonts w:ascii="宋体" w:hAnsi="宋体" w:cs="华文中宋"/>
          <w:sz w:val="28"/>
          <w:szCs w:val="28"/>
        </w:rPr>
      </w:pPr>
    </w:p>
    <w:p>
      <w:pPr>
        <w:pStyle w:val="3"/>
        <w:keepNext w:val="0"/>
        <w:keepLines w:val="0"/>
        <w:widowControl w:val="0"/>
        <w:numPr>
          <w:ilvl w:val="0"/>
          <w:numId w:val="0"/>
        </w:numPr>
        <w:kinsoku/>
        <w:wordWrap/>
        <w:overflowPunct/>
        <w:topLinePunct w:val="0"/>
        <w:autoSpaceDE/>
        <w:autoSpaceDN/>
        <w:bidi w:val="0"/>
        <w:spacing w:afterAutospacing="0" w:line="240" w:lineRule="auto"/>
        <w:ind w:leftChars="0"/>
        <w:textAlignment w:val="auto"/>
        <w:rPr>
          <w:rFonts w:hint="default"/>
        </w:rPr>
      </w:pPr>
    </w:p>
    <w:p>
      <w:pPr>
        <w:keepNext w:val="0"/>
        <w:keepLines w:val="0"/>
        <w:widowControl w:val="0"/>
        <w:kinsoku/>
        <w:wordWrap/>
        <w:overflowPunct/>
        <w:topLinePunct w:val="0"/>
        <w:autoSpaceDE/>
        <w:autoSpaceDN/>
        <w:bidi w:val="0"/>
        <w:adjustRightInd w:val="0"/>
        <w:snapToGrid w:val="0"/>
        <w:spacing w:afterAutospacing="0" w:line="240" w:lineRule="auto"/>
        <w:jc w:val="center"/>
        <w:textAlignment w:val="auto"/>
        <w:rPr>
          <w:rFonts w:hint="eastAsia" w:ascii="方正小标宋_GBK" w:hAnsi="宋体" w:eastAsia="方正小标宋_GBK" w:cs="华文中宋"/>
          <w:sz w:val="72"/>
          <w:szCs w:val="72"/>
          <w:lang w:eastAsia="zh-CN"/>
        </w:rPr>
      </w:pPr>
      <w:r>
        <w:rPr>
          <w:rFonts w:hint="eastAsia" w:ascii="方正小标宋_GBK" w:hAnsi="宋体" w:eastAsia="方正小标宋_GBK" w:cs="华文中宋"/>
          <w:sz w:val="72"/>
          <w:szCs w:val="72"/>
        </w:rPr>
        <w:t>物业服务合同</w:t>
      </w:r>
      <w:r>
        <w:rPr>
          <w:rFonts w:hint="eastAsia" w:ascii="方正小标宋_GBK" w:hAnsi="宋体" w:eastAsia="方正小标宋_GBK" w:cs="华文中宋"/>
          <w:sz w:val="72"/>
          <w:szCs w:val="72"/>
          <w:lang w:eastAsia="zh-CN"/>
        </w:rPr>
        <w:t>条款及格式</w:t>
      </w:r>
    </w:p>
    <w:p>
      <w:pPr>
        <w:pStyle w:val="3"/>
        <w:keepNext w:val="0"/>
        <w:keepLines w:val="0"/>
        <w:widowControl w:val="0"/>
        <w:numPr>
          <w:ilvl w:val="0"/>
          <w:numId w:val="0"/>
        </w:numPr>
        <w:kinsoku/>
        <w:wordWrap/>
        <w:overflowPunct/>
        <w:topLinePunct w:val="0"/>
        <w:autoSpaceDE/>
        <w:autoSpaceDN/>
        <w:bidi w:val="0"/>
        <w:spacing w:afterAutospacing="0" w:line="240" w:lineRule="auto"/>
        <w:ind w:leftChars="0"/>
        <w:jc w:val="center"/>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(此范文仅作签订合同参考，以最终签订的合同条款为准。)</w:t>
      </w:r>
    </w:p>
    <w:p>
      <w:pPr>
        <w:keepNext w:val="0"/>
        <w:keepLines w:val="0"/>
        <w:widowControl w:val="0"/>
        <w:kinsoku/>
        <w:wordWrap/>
        <w:overflowPunct/>
        <w:topLinePunct w:val="0"/>
        <w:autoSpaceDE/>
        <w:autoSpaceDN/>
        <w:bidi w:val="0"/>
        <w:adjustRightInd w:val="0"/>
        <w:snapToGrid w:val="0"/>
        <w:spacing w:afterAutospacing="0" w:line="240" w:lineRule="auto"/>
        <w:ind w:firstLine="248" w:firstLineChars="100"/>
        <w:textAlignment w:val="auto"/>
        <w:rPr>
          <w:rFonts w:ascii="宋体" w:hAnsi="宋体"/>
          <w:spacing w:val="-14"/>
          <w:sz w:val="28"/>
          <w:szCs w:val="28"/>
        </w:rPr>
      </w:pPr>
    </w:p>
    <w:p>
      <w:pPr>
        <w:keepNext w:val="0"/>
        <w:keepLines w:val="0"/>
        <w:widowControl w:val="0"/>
        <w:kinsoku/>
        <w:wordWrap/>
        <w:overflowPunct/>
        <w:topLinePunct w:val="0"/>
        <w:autoSpaceDE/>
        <w:autoSpaceDN/>
        <w:bidi w:val="0"/>
        <w:adjustRightInd w:val="0"/>
        <w:snapToGrid w:val="0"/>
        <w:spacing w:afterAutospacing="0" w:line="240" w:lineRule="auto"/>
        <w:ind w:firstLine="248" w:firstLineChars="100"/>
        <w:textAlignment w:val="auto"/>
        <w:rPr>
          <w:rFonts w:ascii="宋体" w:hAnsi="宋体"/>
          <w:b/>
          <w:spacing w:val="-14"/>
          <w:sz w:val="28"/>
          <w:szCs w:val="28"/>
        </w:rPr>
      </w:pPr>
    </w:p>
    <w:p>
      <w:pPr>
        <w:keepNext w:val="0"/>
        <w:keepLines w:val="0"/>
        <w:widowControl w:val="0"/>
        <w:kinsoku/>
        <w:wordWrap/>
        <w:overflowPunct/>
        <w:topLinePunct w:val="0"/>
        <w:autoSpaceDE/>
        <w:autoSpaceDN/>
        <w:bidi w:val="0"/>
        <w:adjustRightInd w:val="0"/>
        <w:snapToGrid w:val="0"/>
        <w:spacing w:afterAutospacing="0" w:line="240" w:lineRule="auto"/>
        <w:ind w:firstLine="248" w:firstLineChars="100"/>
        <w:textAlignment w:val="auto"/>
        <w:rPr>
          <w:rFonts w:ascii="宋体" w:hAnsi="宋体"/>
          <w:b/>
          <w:spacing w:val="-14"/>
          <w:sz w:val="28"/>
          <w:szCs w:val="28"/>
        </w:rPr>
      </w:pPr>
    </w:p>
    <w:p>
      <w:pPr>
        <w:keepNext w:val="0"/>
        <w:keepLines w:val="0"/>
        <w:widowControl w:val="0"/>
        <w:kinsoku/>
        <w:wordWrap/>
        <w:overflowPunct/>
        <w:topLinePunct w:val="0"/>
        <w:autoSpaceDE/>
        <w:autoSpaceDN/>
        <w:bidi w:val="0"/>
        <w:adjustRightInd w:val="0"/>
        <w:snapToGrid w:val="0"/>
        <w:spacing w:afterAutospacing="0" w:line="240" w:lineRule="auto"/>
        <w:ind w:firstLine="248" w:firstLineChars="100"/>
        <w:textAlignment w:val="auto"/>
        <w:rPr>
          <w:rFonts w:ascii="宋体" w:hAnsi="宋体"/>
          <w:b/>
          <w:spacing w:val="-14"/>
          <w:sz w:val="28"/>
          <w:szCs w:val="28"/>
        </w:rPr>
      </w:pPr>
    </w:p>
    <w:p>
      <w:pPr>
        <w:keepNext w:val="0"/>
        <w:keepLines w:val="0"/>
        <w:widowControl w:val="0"/>
        <w:tabs>
          <w:tab w:val="left" w:pos="6645"/>
        </w:tabs>
        <w:kinsoku/>
        <w:wordWrap/>
        <w:overflowPunct/>
        <w:topLinePunct w:val="0"/>
        <w:autoSpaceDE/>
        <w:autoSpaceDN/>
        <w:bidi w:val="0"/>
        <w:adjustRightInd w:val="0"/>
        <w:snapToGrid w:val="0"/>
        <w:spacing w:afterAutospacing="0" w:line="240" w:lineRule="auto"/>
        <w:ind w:firstLine="248" w:firstLineChars="100"/>
        <w:textAlignment w:val="auto"/>
        <w:rPr>
          <w:rFonts w:ascii="宋体" w:hAnsi="宋体"/>
          <w:b/>
          <w:spacing w:val="-14"/>
          <w:sz w:val="28"/>
          <w:szCs w:val="28"/>
        </w:rPr>
      </w:pPr>
      <w:r>
        <w:rPr>
          <w:rFonts w:ascii="宋体" w:hAnsi="宋体"/>
          <w:b/>
          <w:spacing w:val="-14"/>
          <w:sz w:val="28"/>
          <w:szCs w:val="28"/>
        </w:rPr>
        <w:tab/>
      </w:r>
    </w:p>
    <w:p>
      <w:pPr>
        <w:keepNext w:val="0"/>
        <w:keepLines w:val="0"/>
        <w:widowControl w:val="0"/>
        <w:kinsoku/>
        <w:wordWrap/>
        <w:overflowPunct/>
        <w:topLinePunct w:val="0"/>
        <w:autoSpaceDE/>
        <w:autoSpaceDN/>
        <w:bidi w:val="0"/>
        <w:adjustRightInd w:val="0"/>
        <w:snapToGrid w:val="0"/>
        <w:spacing w:afterAutospacing="0" w:line="240" w:lineRule="auto"/>
        <w:ind w:firstLine="248" w:firstLineChars="100"/>
        <w:textAlignment w:val="auto"/>
        <w:rPr>
          <w:rFonts w:ascii="宋体" w:hAnsi="宋体"/>
          <w:b/>
          <w:spacing w:val="-14"/>
          <w:sz w:val="28"/>
          <w:szCs w:val="28"/>
        </w:rPr>
      </w:pPr>
    </w:p>
    <w:p>
      <w:pPr>
        <w:keepNext w:val="0"/>
        <w:keepLines w:val="0"/>
        <w:widowControl w:val="0"/>
        <w:kinsoku/>
        <w:wordWrap/>
        <w:overflowPunct/>
        <w:topLinePunct w:val="0"/>
        <w:autoSpaceDE/>
        <w:autoSpaceDN/>
        <w:bidi w:val="0"/>
        <w:adjustRightInd w:val="0"/>
        <w:snapToGrid w:val="0"/>
        <w:spacing w:afterAutospacing="0" w:line="240" w:lineRule="auto"/>
        <w:ind w:firstLine="248" w:firstLineChars="100"/>
        <w:textAlignment w:val="auto"/>
        <w:rPr>
          <w:rFonts w:ascii="宋体" w:hAnsi="宋体"/>
          <w:b/>
          <w:spacing w:val="-14"/>
          <w:sz w:val="28"/>
          <w:szCs w:val="28"/>
        </w:rPr>
      </w:pPr>
    </w:p>
    <w:p>
      <w:pPr>
        <w:keepNext w:val="0"/>
        <w:keepLines w:val="0"/>
        <w:widowControl w:val="0"/>
        <w:kinsoku/>
        <w:wordWrap/>
        <w:overflowPunct/>
        <w:topLinePunct w:val="0"/>
        <w:autoSpaceDE/>
        <w:autoSpaceDN/>
        <w:bidi w:val="0"/>
        <w:adjustRightInd w:val="0"/>
        <w:snapToGrid w:val="0"/>
        <w:spacing w:afterAutospacing="0" w:line="240" w:lineRule="auto"/>
        <w:ind w:firstLine="288" w:firstLineChars="100"/>
        <w:textAlignment w:val="auto"/>
        <w:rPr>
          <w:rFonts w:ascii="宋体" w:hAnsi="宋体"/>
          <w:b/>
          <w:spacing w:val="-14"/>
          <w:sz w:val="32"/>
          <w:szCs w:val="32"/>
        </w:rPr>
      </w:pPr>
    </w:p>
    <w:p>
      <w:pPr>
        <w:keepNext w:val="0"/>
        <w:keepLines w:val="0"/>
        <w:widowControl w:val="0"/>
        <w:kinsoku/>
        <w:wordWrap/>
        <w:overflowPunct/>
        <w:topLinePunct w:val="0"/>
        <w:autoSpaceDE/>
        <w:autoSpaceDN/>
        <w:bidi w:val="0"/>
        <w:adjustRightInd w:val="0"/>
        <w:snapToGrid w:val="0"/>
        <w:spacing w:afterAutospacing="0" w:line="240" w:lineRule="auto"/>
        <w:ind w:firstLine="1896" w:firstLineChars="600"/>
        <w:textAlignment w:val="auto"/>
        <w:rPr>
          <w:rFonts w:ascii="宋体" w:hAnsi="宋体"/>
          <w:sz w:val="32"/>
          <w:szCs w:val="32"/>
        </w:rPr>
      </w:pPr>
      <w:r>
        <w:rPr>
          <w:rFonts w:hint="eastAsia" w:ascii="宋体" w:hAnsi="宋体"/>
          <w:sz w:val="32"/>
          <w:szCs w:val="32"/>
        </w:rPr>
        <w:t>委托方：</w:t>
      </w:r>
    </w:p>
    <w:p>
      <w:pPr>
        <w:keepNext w:val="0"/>
        <w:keepLines w:val="0"/>
        <w:widowControl w:val="0"/>
        <w:kinsoku/>
        <w:wordWrap/>
        <w:overflowPunct/>
        <w:topLinePunct w:val="0"/>
        <w:autoSpaceDE/>
        <w:autoSpaceDN/>
        <w:bidi w:val="0"/>
        <w:adjustRightInd w:val="0"/>
        <w:snapToGrid w:val="0"/>
        <w:spacing w:afterAutospacing="0" w:line="240" w:lineRule="auto"/>
        <w:ind w:firstLine="1896" w:firstLineChars="600"/>
        <w:textAlignment w:val="auto"/>
        <w:rPr>
          <w:rFonts w:ascii="宋体" w:hAnsi="宋体"/>
          <w:sz w:val="32"/>
          <w:szCs w:val="32"/>
        </w:rPr>
      </w:pPr>
      <w:r>
        <w:rPr>
          <w:rFonts w:hint="eastAsia" w:ascii="宋体" w:hAnsi="宋体"/>
          <w:sz w:val="32"/>
          <w:szCs w:val="32"/>
        </w:rPr>
        <w:t>受托方：</w:t>
      </w:r>
      <w:bookmarkStart w:id="9" w:name="_GoBack"/>
      <w:bookmarkEnd w:id="9"/>
    </w:p>
    <w:p>
      <w:pPr>
        <w:keepNext w:val="0"/>
        <w:keepLines w:val="0"/>
        <w:widowControl w:val="0"/>
        <w:kinsoku/>
        <w:wordWrap/>
        <w:overflowPunct/>
        <w:topLinePunct w:val="0"/>
        <w:autoSpaceDE/>
        <w:autoSpaceDN/>
        <w:bidi w:val="0"/>
        <w:adjustRightInd w:val="0"/>
        <w:snapToGrid w:val="0"/>
        <w:spacing w:afterAutospacing="0" w:line="240" w:lineRule="auto"/>
        <w:ind w:firstLine="1896" w:firstLineChars="600"/>
        <w:textAlignment w:val="auto"/>
        <w:rPr>
          <w:rFonts w:ascii="宋体" w:hAnsi="宋体"/>
          <w:sz w:val="32"/>
          <w:szCs w:val="32"/>
        </w:rPr>
      </w:pPr>
      <w:r>
        <w:rPr>
          <w:rFonts w:hint="eastAsia" w:ascii="宋体" w:hAnsi="宋体"/>
          <w:sz w:val="32"/>
          <w:szCs w:val="32"/>
        </w:rPr>
        <w:t>签约时间：</w:t>
      </w:r>
      <w:r>
        <w:rPr>
          <w:rFonts w:hint="eastAsia" w:ascii="宋体" w:hAnsi="宋体"/>
          <w:sz w:val="32"/>
          <w:szCs w:val="32"/>
          <w:lang w:val="en-US" w:eastAsia="zh-CN"/>
        </w:rPr>
        <w:t xml:space="preserve">  </w:t>
      </w:r>
      <w:r>
        <w:rPr>
          <w:rFonts w:hint="eastAsia" w:ascii="宋体" w:hAnsi="宋体"/>
          <w:sz w:val="32"/>
          <w:szCs w:val="32"/>
        </w:rPr>
        <w:t xml:space="preserve">  年  </w:t>
      </w:r>
      <w:r>
        <w:rPr>
          <w:rFonts w:hint="eastAsia" w:ascii="宋体" w:hAnsi="宋体"/>
          <w:sz w:val="32"/>
          <w:szCs w:val="32"/>
          <w:lang w:val="en-US" w:eastAsia="zh-CN"/>
        </w:rPr>
        <w:t xml:space="preserve"> </w:t>
      </w:r>
      <w:r>
        <w:rPr>
          <w:rFonts w:hint="eastAsia" w:ascii="宋体" w:hAnsi="宋体"/>
          <w:sz w:val="32"/>
          <w:szCs w:val="32"/>
        </w:rPr>
        <w:t xml:space="preserve">月 </w:t>
      </w:r>
      <w:r>
        <w:rPr>
          <w:rFonts w:hint="eastAsia" w:ascii="宋体" w:hAnsi="宋体"/>
          <w:sz w:val="32"/>
          <w:szCs w:val="32"/>
          <w:lang w:val="en-US" w:eastAsia="zh-CN"/>
        </w:rPr>
        <w:t xml:space="preserve"> </w:t>
      </w:r>
      <w:r>
        <w:rPr>
          <w:rFonts w:hint="eastAsia" w:ascii="宋体" w:hAnsi="宋体"/>
          <w:sz w:val="32"/>
          <w:szCs w:val="32"/>
        </w:rPr>
        <w:t xml:space="preserve"> 日</w:t>
      </w:r>
    </w:p>
    <w:p>
      <w:pPr>
        <w:keepNext w:val="0"/>
        <w:keepLines w:val="0"/>
        <w:widowControl w:val="0"/>
        <w:kinsoku/>
        <w:wordWrap/>
        <w:overflowPunct/>
        <w:topLinePunct w:val="0"/>
        <w:autoSpaceDE/>
        <w:autoSpaceDN/>
        <w:bidi w:val="0"/>
        <w:adjustRightInd w:val="0"/>
        <w:snapToGrid w:val="0"/>
        <w:spacing w:afterAutospacing="0" w:line="240" w:lineRule="auto"/>
        <w:ind w:left="-12" w:leftChars="-4" w:firstLine="122" w:firstLineChars="52"/>
        <w:jc w:val="center"/>
        <w:textAlignment w:val="auto"/>
        <w:rPr>
          <w:rFonts w:ascii="宋体" w:hAnsi="宋体" w:cs="Arial"/>
          <w:sz w:val="24"/>
        </w:rPr>
      </w:pPr>
    </w:p>
    <w:p>
      <w:pPr>
        <w:keepNext w:val="0"/>
        <w:keepLines w:val="0"/>
        <w:widowControl w:val="0"/>
        <w:kinsoku/>
        <w:wordWrap/>
        <w:overflowPunct/>
        <w:topLinePunct w:val="0"/>
        <w:autoSpaceDE/>
        <w:autoSpaceDN/>
        <w:bidi w:val="0"/>
        <w:adjustRightInd w:val="0"/>
        <w:snapToGrid w:val="0"/>
        <w:spacing w:afterAutospacing="0" w:line="240" w:lineRule="auto"/>
        <w:ind w:left="-12" w:leftChars="-4" w:firstLine="122" w:firstLineChars="52"/>
        <w:jc w:val="center"/>
        <w:textAlignment w:val="auto"/>
        <w:rPr>
          <w:rFonts w:ascii="宋体" w:hAnsi="宋体" w:cs="Arial"/>
          <w:sz w:val="24"/>
        </w:rPr>
      </w:pPr>
    </w:p>
    <w:p>
      <w:pPr>
        <w:adjustRightInd w:val="0"/>
        <w:snapToGrid w:val="0"/>
        <w:spacing w:line="560" w:lineRule="exact"/>
        <w:ind w:left="-12" w:leftChars="-4" w:firstLine="122" w:firstLineChars="52"/>
        <w:jc w:val="center"/>
        <w:rPr>
          <w:rFonts w:ascii="宋体" w:hAnsi="宋体" w:cs="Arial"/>
          <w:sz w:val="24"/>
        </w:rPr>
      </w:pPr>
    </w:p>
    <w:p>
      <w:pPr>
        <w:spacing w:line="360" w:lineRule="auto"/>
        <w:rPr>
          <w:rFonts w:ascii="宋体" w:hAnsi="宋体" w:cs="Arial"/>
          <w:sz w:val="24"/>
        </w:rPr>
      </w:pPr>
    </w:p>
    <w:p>
      <w:pPr>
        <w:pStyle w:val="3"/>
        <w:numPr>
          <w:ilvl w:val="0"/>
          <w:numId w:val="0"/>
        </w:numPr>
        <w:ind w:leftChars="0"/>
        <w:rPr>
          <w:rFonts w:hint="default"/>
        </w:rPr>
      </w:pPr>
    </w:p>
    <w:p>
      <w:pPr>
        <w:adjustRightInd w:val="0"/>
        <w:snapToGrid w:val="0"/>
        <w:spacing w:line="520" w:lineRule="exact"/>
        <w:jc w:val="center"/>
        <w:rPr>
          <w:rFonts w:ascii="宋体" w:hAnsi="宋体" w:cs="华文中宋"/>
          <w:sz w:val="36"/>
          <w:szCs w:val="36"/>
        </w:rPr>
      </w:pPr>
      <w:r>
        <w:rPr>
          <w:rFonts w:hint="eastAsia" w:ascii="宋体" w:hAnsi="宋体" w:cs="华文中宋"/>
          <w:sz w:val="36"/>
          <w:szCs w:val="36"/>
        </w:rPr>
        <w:t xml:space="preserve"> </w:t>
      </w:r>
    </w:p>
    <w:p>
      <w:pPr>
        <w:adjustRightInd w:val="0"/>
        <w:snapToGrid w:val="0"/>
        <w:spacing w:line="520" w:lineRule="exact"/>
        <w:jc w:val="center"/>
        <w:rPr>
          <w:rFonts w:ascii="宋体" w:hAnsi="宋体" w:cs="华文中宋"/>
          <w:sz w:val="36"/>
          <w:szCs w:val="36"/>
        </w:rPr>
      </w:pPr>
    </w:p>
    <w:p>
      <w:pPr>
        <w:pStyle w:val="2"/>
        <w:rPr>
          <w:rFonts w:ascii="宋体" w:hAnsi="宋体" w:cs="华文中宋"/>
          <w:sz w:val="36"/>
          <w:szCs w:val="36"/>
        </w:rPr>
      </w:pPr>
    </w:p>
    <w:p>
      <w:pPr>
        <w:pStyle w:val="2"/>
        <w:rPr>
          <w:rFonts w:ascii="宋体" w:hAnsi="宋体" w:cs="华文中宋"/>
          <w:sz w:val="36"/>
          <w:szCs w:val="36"/>
        </w:rPr>
      </w:pPr>
    </w:p>
    <w:p>
      <w:pPr>
        <w:pStyle w:val="2"/>
        <w:rPr>
          <w:rFonts w:ascii="宋体" w:hAnsi="宋体" w:cs="华文中宋"/>
          <w:sz w:val="36"/>
          <w:szCs w:val="36"/>
        </w:rPr>
      </w:pPr>
    </w:p>
    <w:p>
      <w:pPr>
        <w:adjustRightInd w:val="0"/>
        <w:snapToGrid w:val="0"/>
        <w:spacing w:line="520" w:lineRule="exact"/>
        <w:jc w:val="center"/>
        <w:rPr>
          <w:rFonts w:ascii="宋体" w:hAnsi="宋体" w:cs="华文中宋"/>
          <w:sz w:val="36"/>
          <w:szCs w:val="36"/>
        </w:rPr>
      </w:pPr>
    </w:p>
    <w:p>
      <w:pPr>
        <w:adjustRightInd w:val="0"/>
        <w:snapToGrid w:val="0"/>
        <w:spacing w:line="520" w:lineRule="exact"/>
        <w:jc w:val="center"/>
        <w:rPr>
          <w:rFonts w:ascii="宋体" w:hAnsi="宋体" w:cs="华文中宋"/>
          <w:sz w:val="36"/>
          <w:szCs w:val="36"/>
        </w:rPr>
      </w:pPr>
    </w:p>
    <w:p>
      <w:pPr>
        <w:keepNext w:val="0"/>
        <w:keepLines w:val="0"/>
        <w:widowControl w:val="0"/>
        <w:kinsoku/>
        <w:wordWrap/>
        <w:overflowPunct/>
        <w:topLinePunct w:val="0"/>
        <w:autoSpaceDE/>
        <w:autoSpaceDN/>
        <w:bidi w:val="0"/>
        <w:adjustRightInd w:val="0"/>
        <w:snapToGrid w:val="0"/>
        <w:spacing w:afterAutospacing="0" w:line="240" w:lineRule="auto"/>
        <w:jc w:val="center"/>
        <w:textAlignment w:val="auto"/>
        <w:rPr>
          <w:rFonts w:hint="eastAsia" w:ascii="方正小标宋_GBK" w:hAnsi="宋体" w:eastAsia="方正小标宋_GBK" w:cs="华文中宋"/>
          <w:sz w:val="32"/>
          <w:szCs w:val="32"/>
          <w:lang w:eastAsia="zh-CN"/>
        </w:rPr>
      </w:pPr>
      <w:r>
        <w:rPr>
          <w:rFonts w:hint="eastAsia" w:ascii="方正小标宋_GBK" w:hAnsi="宋体" w:eastAsia="方正小标宋_GBK" w:cs="华文中宋"/>
          <w:sz w:val="32"/>
          <w:szCs w:val="32"/>
        </w:rPr>
        <w:t>物业服务合同</w:t>
      </w:r>
      <w:r>
        <w:rPr>
          <w:rFonts w:hint="eastAsia" w:ascii="方正小标宋_GBK" w:hAnsi="宋体" w:eastAsia="方正小标宋_GBK" w:cs="华文中宋"/>
          <w:sz w:val="32"/>
          <w:szCs w:val="32"/>
          <w:lang w:eastAsia="zh-CN"/>
        </w:rPr>
        <w:t>条款及格式</w:t>
      </w:r>
    </w:p>
    <w:p>
      <w:pPr>
        <w:keepNext w:val="0"/>
        <w:keepLines w:val="0"/>
        <w:pageBreakBefore w:val="0"/>
        <w:kinsoku/>
        <w:wordWrap/>
        <w:overflowPunct/>
        <w:topLinePunct w:val="0"/>
        <w:autoSpaceDE/>
        <w:autoSpaceDN/>
        <w:bidi w:val="0"/>
        <w:adjustRightInd w:val="0"/>
        <w:snapToGrid w:val="0"/>
        <w:spacing w:line="560" w:lineRule="exact"/>
        <w:jc w:val="center"/>
        <w:rPr>
          <w:rFonts w:ascii="宋体" w:hAnsi="宋体" w:cs="Arial"/>
          <w:b/>
          <w:sz w:val="32"/>
          <w:szCs w:val="32"/>
        </w:rPr>
      </w:pPr>
      <w:r>
        <w:rPr>
          <w:rFonts w:hint="eastAsia" w:ascii="宋体" w:hAnsi="宋体" w:eastAsia="宋体" w:cs="宋体"/>
          <w:b w:val="0"/>
          <w:bCs/>
          <w:sz w:val="32"/>
          <w:szCs w:val="32"/>
          <w:lang w:val="en-US" w:eastAsia="zh-CN"/>
        </w:rPr>
        <w:t>(此范文仅作签订合同参考，以最终签订的合同条款为准。)</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第一章 总则</w:t>
      </w:r>
    </w:p>
    <w:p>
      <w:pPr>
        <w:keepNext w:val="0"/>
        <w:keepLines w:val="0"/>
        <w:pageBreakBefore w:val="0"/>
        <w:kinsoku/>
        <w:wordWrap/>
        <w:overflowPunct/>
        <w:topLinePunct w:val="0"/>
        <w:autoSpaceDE/>
        <w:autoSpaceDN/>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第一条</w:t>
      </w:r>
      <w:r>
        <w:rPr>
          <w:rFonts w:hint="eastAsia" w:ascii="仿宋_GB2312" w:hAnsi="仿宋_GB2312" w:eastAsia="仿宋_GB2312" w:cs="仿宋_GB2312"/>
          <w:sz w:val="32"/>
          <w:szCs w:val="32"/>
        </w:rPr>
        <w:t xml:space="preserve"> 本合同当事人</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委托方（简称甲方）：</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地址：海口市美兰区美祥横路</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电话号码：</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受托方（简称乙方）：</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注册地址：</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电话号码：</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政府采购公开招投标，乙方为海南省人民检察院物业服务项目中标单位。为明确双方责任和义务，根据有关法律、法规和实际情况，经甲、乙双方协商一致，现签订《海南省人民检察院物业委托服务合同》，以资双方共同遵守执行。</w:t>
      </w:r>
    </w:p>
    <w:p>
      <w:pPr>
        <w:keepNext w:val="0"/>
        <w:keepLines w:val="0"/>
        <w:pageBreakBefore w:val="0"/>
        <w:kinsoku/>
        <w:wordWrap/>
        <w:overflowPunct/>
        <w:topLinePunct w:val="0"/>
        <w:autoSpaceDE/>
        <w:autoSpaceDN/>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第二条</w:t>
      </w:r>
      <w:r>
        <w:rPr>
          <w:rFonts w:hint="eastAsia" w:ascii="仿宋_GB2312" w:hAnsi="仿宋_GB2312" w:eastAsia="仿宋_GB2312" w:cs="仿宋_GB2312"/>
          <w:sz w:val="32"/>
          <w:szCs w:val="32"/>
        </w:rPr>
        <w:t xml:space="preserve"> 物业基本概况及服务范围、内容、标准</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一、基本概况</w:t>
      </w:r>
      <w:r>
        <w:rPr>
          <w:rFonts w:hint="eastAsia" w:ascii="仿宋_GB2312" w:hAnsi="仿宋_GB2312" w:eastAsia="仿宋_GB2312" w:cs="仿宋_GB2312"/>
          <w:sz w:val="32"/>
          <w:szCs w:val="32"/>
          <w:lang w:eastAsia="zh-CN"/>
        </w:rPr>
        <w:t>（以招标文件为准）</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二、委托服务范围及内容</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1.服务范围及内容</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服务范围：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等各项工作。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服务内容：</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（1）全面负责服务范围内的各类安全保卫工作；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（2）全面负责服务范围内所有办公场所、</w:t>
      </w:r>
      <w:r>
        <w:rPr>
          <w:rFonts w:hint="eastAsia" w:ascii="仿宋_GB2312" w:hAnsi="仿宋_GB2312" w:eastAsia="仿宋_GB2312" w:cs="仿宋_GB2312"/>
          <w:color w:val="auto"/>
          <w:sz w:val="32"/>
          <w:szCs w:val="32"/>
          <w:lang w:eastAsia="zh-CN"/>
        </w:rPr>
        <w:t>活动室、</w:t>
      </w:r>
      <w:r>
        <w:rPr>
          <w:rFonts w:hint="eastAsia" w:ascii="仿宋_GB2312" w:hAnsi="仿宋_GB2312" w:eastAsia="仿宋_GB2312" w:cs="仿宋_GB2312"/>
          <w:color w:val="auto"/>
          <w:sz w:val="32"/>
          <w:szCs w:val="32"/>
        </w:rPr>
        <w:t>公共场所的清洁卫生工作（即室内保洁工作）；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（3）全面负责服务范围内大楼周边和机关大院内的环境卫生、垃圾分类、垃圾清运（含厨余垃圾）等工作（即室外保洁工作）；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（4）全面负责服务范围内用水用电设施的日常管理，包括熟练操作、运行、维护等；</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（5）全面负责服务范围内的消防工作，24小时开展消防监控工作，发现消防安全隐患立即上报。爱护并熟练掌握各种消防设施设备、灭火器材的使用方法，杜绝火灾、爆炸等恶性事故的发生；</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（6）全面负责服务范围内所有草地、花卉、绿篱、树木的养护、修剪等工作；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（7）按照司法技术部有关要求做好司法鉴定中心实验室的清洁卫生工作；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）负责各类会务的服务保障工作。</w:t>
      </w:r>
    </w:p>
    <w:p>
      <w:pPr>
        <w:pStyle w:val="2"/>
        <w:ind w:firstLine="632"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负责省院、一分院老干部活动中心的管理和保洁工作，代管省院原西院小区的管理和保洁工作。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2.省检察院、一分院办公区服务内容</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（1）秩序维护管理服务：负责日常门岗值班值勤，24小时不间断地开展安全监控、区域巡视工作，维护院内交通秩序，合理指挥车辆停放，维护公共区域的正常工作秩序。定</w:t>
      </w:r>
      <w:r>
        <w:rPr>
          <w:rFonts w:hint="eastAsia" w:ascii="仿宋_GB2312" w:hAnsi="仿宋_GB2312" w:eastAsia="仿宋_GB2312" w:cs="仿宋_GB2312"/>
          <w:sz w:val="32"/>
          <w:szCs w:val="32"/>
        </w:rPr>
        <w:t>期检查机关大院、办公楼、地下室、外围等区域的设施设备运行情况，发现问题及时上报。对服务范围内建筑公共部位进行巡查，包括：前后门、围墙、楼盖、屋顶、外墙面、承重结构、楼梯间、走廊通道、门厅、大堂、体能训练中心等。</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清洁卫生服务：每日对公共场所、办公室、地下室等区域开展清洁卫生，及时做好垃圾的收集、清运，定期对清洁用具、用品进行保养，按要求开展灭鼠、灭蚊、灭蚁、灭蟑螂工作。按照要求，定期对司法技术部试验室开展卫生清洁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（3）会务服务：安排专人负责各个会议室的清洁工作，管理好各类茶具，并做好倒茶、倒水等服务工作。</w:t>
      </w:r>
    </w:p>
    <w:p>
      <w:pPr>
        <w:keepNext w:val="0"/>
        <w:keepLines w:val="0"/>
        <w:pageBreakBefore w:val="0"/>
        <w:kinsoku/>
        <w:wordWrap/>
        <w:overflowPunct/>
        <w:topLinePunct w:val="0"/>
        <w:autoSpaceDE/>
        <w:autoSpaceDN/>
        <w:bidi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（4）绿化管理工作：做好服务范围内的草地、花卉、绿篱、树木等绿化的养护工作，定期进行修剪。</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（5）水电及消防设施的维护管理服务：定期检查水电和消防设施设备，如有问题及时上报，做好水电及消防设施的维护管理工作。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3.12309检察服务中心服务内容</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（1）负责检察服务中心的秩序维护工作，协助工作人员执行安检任务，确保接访工作的正常开展；</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（2）负责检察服务中心工作人员办公室、接待室的日常保洁和垃圾收集、清运等工作，确保公共场所干净、整洁、卫生；</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（3）协助检察服务中心工作人员做好其他工作。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（四）老干部活动中心服务内容</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（1）严格按照老干部活动中心的管理规定实施日常管理；</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（2）对省检察院和一分院老干部活动中心的各类娱乐、健身器材进行日常管理和维护，每日开展保洁工作。</w:t>
      </w:r>
    </w:p>
    <w:p>
      <w:pPr>
        <w:keepNext w:val="0"/>
        <w:keepLines w:val="0"/>
        <w:pageBreakBefore w:val="0"/>
        <w:kinsoku/>
        <w:wordWrap/>
        <w:overflowPunct/>
        <w:topLinePunct w:val="0"/>
        <w:autoSpaceDE/>
        <w:autoSpaceDN/>
        <w:bidi w:val="0"/>
        <w:adjustRightInd w:val="0"/>
        <w:snapToGrid w:val="0"/>
        <w:spacing w:line="560" w:lineRule="exact"/>
        <w:ind w:left="948" w:leftChars="200" w:hanging="316" w:hanging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三、服务内容及标准：（详见附件一《物业委托服务内容和</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b/>
          <w:sz w:val="32"/>
          <w:szCs w:val="32"/>
        </w:rPr>
      </w:pPr>
    </w:p>
    <w:p>
      <w:pPr>
        <w:pStyle w:val="2"/>
        <w:rPr>
          <w:rFonts w:hint="default" w:eastAsia="仿宋_GB2312"/>
          <w:color w:val="FF0000"/>
          <w:lang w:val="en-US" w:eastAsia="zh-CN"/>
        </w:rPr>
      </w:pPr>
      <w:r>
        <w:rPr>
          <w:rFonts w:hint="eastAsia" w:ascii="仿宋_GB2312" w:hAnsi="仿宋_GB2312" w:cs="仿宋_GB2312"/>
          <w:b/>
          <w:sz w:val="32"/>
          <w:szCs w:val="32"/>
          <w:lang w:val="en-US" w:eastAsia="zh-CN"/>
        </w:rPr>
        <w:t xml:space="preserve"> </w:t>
      </w:r>
      <w:r>
        <w:rPr>
          <w:rFonts w:hint="eastAsia" w:ascii="仿宋_GB2312" w:hAnsi="仿宋_GB2312" w:cs="仿宋_GB2312"/>
          <w:b/>
          <w:color w:val="FF0000"/>
          <w:sz w:val="32"/>
          <w:szCs w:val="32"/>
          <w:lang w:val="en-US" w:eastAsia="zh-CN"/>
        </w:rPr>
        <w:t xml:space="preserve"> </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第二章 物业服务期限</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第三条</w:t>
      </w:r>
      <w:r>
        <w:rPr>
          <w:rFonts w:hint="eastAsia" w:ascii="仿宋_GB2312" w:hAnsi="仿宋_GB2312" w:eastAsia="仿宋_GB2312" w:cs="仿宋_GB2312"/>
          <w:sz w:val="32"/>
          <w:szCs w:val="32"/>
        </w:rPr>
        <w:t xml:space="preserve"> 本合同期限为叁年，自</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日起至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日止。</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b/>
          <w:sz w:val="32"/>
          <w:szCs w:val="32"/>
        </w:rPr>
      </w:pPr>
    </w:p>
    <w:p>
      <w:pPr>
        <w:pStyle w:val="3"/>
        <w:keepNext w:val="0"/>
        <w:keepLines w:val="0"/>
        <w:pageBreakBefore w:val="0"/>
        <w:numPr>
          <w:ilvl w:val="1"/>
          <w:numId w:val="0"/>
        </w:numPr>
        <w:kinsoku/>
        <w:wordWrap/>
        <w:overflowPunct/>
        <w:topLinePunct w:val="0"/>
        <w:autoSpaceDE/>
        <w:autoSpaceDN/>
        <w:bidi w:val="0"/>
        <w:spacing w:before="0" w:beforeAutospacing="0" w:after="0" w:afterAutospacing="0" w:line="560" w:lineRule="exact"/>
        <w:ind w:leftChars="0"/>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第三章 双方权利义务</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第四条</w:t>
      </w:r>
      <w:r>
        <w:rPr>
          <w:rFonts w:hint="eastAsia" w:ascii="仿宋_GB2312" w:hAnsi="仿宋_GB2312" w:eastAsia="仿宋_GB2312" w:cs="仿宋_GB2312"/>
          <w:sz w:val="32"/>
          <w:szCs w:val="32"/>
        </w:rPr>
        <w:t xml:space="preserve"> 甲方权利义务</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一、督促乙方制定相关物业服务规章制度。</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二、甲方负责对委托给乙方服务的项目实施监督、检查、考核、指导</w:t>
      </w:r>
      <w:r>
        <w:rPr>
          <w:rFonts w:hint="eastAsia" w:ascii="仿宋_GB2312" w:hAnsi="仿宋_GB2312" w:cs="仿宋_GB2312"/>
          <w:sz w:val="32"/>
          <w:szCs w:val="32"/>
          <w:lang w:eastAsia="zh-CN"/>
        </w:rPr>
        <w:t>（每年度考核方式、考核标准由甲方与乙方共同商议确定）</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三、审定乙方提出的年度物业服务计划。</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四、负责购置物业服务所需的耗品、工具、材料（由物业公司承担的除外，如环保垃圾袋）。</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五、向乙方无偿提供能正常使用的服务办公用房及存放设备、材料的仓库，并且免费向乙方提供环卫、保洁、绿化工作用水用电。</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六、协助乙方做好物业服务工作和宣传教育、文化活动。</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七、乙方人员如不遵守甲方规章制度或者不服从甲方管理，甲方有权要求乙方撤换工作人员。</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八、甲方按时给乙方支付服务费用。</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九、负责不可抗力或自然灾害（如台风、暴雨、地震等）所造成的环境、绿化破坏的修复、补种等费用。</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十、积极采纳乙方为保证服务工作正常进行而提出的合理化建议，及时处置和协调影响服务工作的不正常问题。</w:t>
      </w:r>
    </w:p>
    <w:p>
      <w:pPr>
        <w:pStyle w:val="2"/>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十一、（如需增加的条款）</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第五条</w:t>
      </w:r>
      <w:r>
        <w:rPr>
          <w:rFonts w:hint="eastAsia" w:ascii="仿宋_GB2312" w:hAnsi="仿宋_GB2312" w:eastAsia="仿宋_GB2312" w:cs="仿宋_GB2312"/>
          <w:sz w:val="32"/>
          <w:szCs w:val="32"/>
        </w:rPr>
        <w:t xml:space="preserve"> 乙方权利义务</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一、乙方应在每年的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月份之前编制年度物业服务计划，并认真组织实施，同时将物业服务计划报甲方备案。</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二、根据本合同约定提供的物业服务，制定相关服务规范和物业管理制度。</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三、按合同规定的服务内容和标准认真、及时完成服务工作，保证甲方服务区域内环境整洁、美观，各项服务高效、周到、优质。</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按甲方岗位设置要求配足物业服务工作人员。乙方应按《岗位设置表》配足工作人员，若因特殊情况缺岗的，要及时向甲方报备；空岗天数超过7天的，一经核实，甲方有权按空缺岗位的人数扣减乙方服务费用。若有意隐瞒且空岗累计达5人（次）以上的，则甲方可视乙方为根本违约，甲方有权解除合同。</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乙方工作人员必须严格遵守甲方物业管理有关规定及工作规章制度，服从甲方管理，不影响办公正常运转，文明工作，礼貌待人。乙方工作人员如不遵守甲方有关规定或不服从甲方管理，造成服务对象投诉或者造成不良影响的，甲方有权要求乙方撤换工作人员。</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六、乙方工作人员必须爱护甲方的各种设施、设备，并节约用水用电。由于乙方原因造成甲方财产损坏等事故，责任由乙方承担，乙方负责免费修复或按原价赔偿。</w:t>
      </w:r>
    </w:p>
    <w:p>
      <w:pPr>
        <w:keepNext w:val="0"/>
        <w:keepLines w:val="0"/>
        <w:pageBreakBefore w:val="0"/>
        <w:kinsoku/>
        <w:wordWrap/>
        <w:overflowPunct/>
        <w:topLinePunct w:val="0"/>
        <w:autoSpaceDE/>
        <w:autoSpaceDN/>
        <w:bidi w:val="0"/>
        <w:adjustRightInd w:val="0"/>
        <w:snapToGrid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七、乙方必须加强本单位工作人员安全生产教育、培训工作，做到安全作业。在履行本合同期间，乙方工作人员如发生人身伤亡或造成其他责任事故，一切责任由乙方自行承担，与甲方无关。</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八、自觉接受甲方指派的管理人员的监督检查，及时向甲方报告区域内影响服务工作的不正常问题。</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九、每季度及时向甲方申报环卫保洁、会务、绿化所需的耗品、工具、材料等，并督促甲方及时购置和做好物品领用登记手续。</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十、遇有甲方事先通知的重大礼仪、会议活动，或遇自然灾害等特殊情况时，乙方必须积极及时组织力量做好服务保障工作或搞好抢险救灾工作。</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十一、选派身体健康思想品质优、责任心强、服务态度端正的人员上岗作业。工作人员保持相对固定，并经过专业培训后方可上岗。乙方选派的领导办公室服务员及会务服务员必须经过政审合格。</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十二、乙方的项目管理人员如有变换，必须及时通知甲方，并将新任的管理人员通讯录报告甲方。</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十三、乙方工作人员必须统一着装，衣帽整洁，佩戴工作名牌上岗。乙方工作人员进入工作现场的出入证由甲方按管理规定办理，所需费用由乙方承担。</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十四、乙方必须做到合法用工，严格落实聘用人员工资待遇，确保不低于招标文件要求的工资水平，乙方在用工中如与聘用人员发生纠纷，均由乙方自行调节与处理，与甲方无关。甲方对乙方劳动用工有督促权。</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乙方的项目负责人负责日常服务工作质量检查和工作中紧急情况的处理，并于每月25日之前将当月的服务工作总结和下月工作计划以书面形式报告甲方。同时，乙方应将本项目物业服务人员名单、岗位设置、专业人员资质及基本情况及时提供给甲方，如有变化应及时更新，每季度最后一个月提供本季度3个月的人员工资发放清单（含社保缴纳情况）给甲方备案。</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十六、</w:t>
      </w:r>
      <w:r>
        <w:rPr>
          <w:rFonts w:hint="eastAsia" w:ascii="仿宋_GB2312" w:hAnsi="仿宋_GB2312" w:eastAsia="仿宋_GB2312" w:cs="仿宋_GB2312"/>
          <w:sz w:val="32"/>
          <w:szCs w:val="32"/>
          <w:lang w:val="en-US" w:eastAsia="zh-CN"/>
        </w:rPr>
        <w:t>（如需增加的条款）</w:t>
      </w:r>
    </w:p>
    <w:p>
      <w:pPr>
        <w:pStyle w:val="2"/>
        <w:rPr>
          <w:rFonts w:hint="eastAsia" w:ascii="仿宋_GB2312" w:hAnsi="仿宋_GB2312" w:eastAsia="仿宋_GB2312" w:cs="仿宋_GB2312"/>
          <w:lang w:eastAsia="zh-CN"/>
        </w:rPr>
      </w:pP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0"/>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164" w:firstLineChars="52"/>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第四章 物业服务费用、付款方式及条件</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第六条</w:t>
      </w:r>
      <w:r>
        <w:rPr>
          <w:rFonts w:hint="eastAsia" w:ascii="仿宋_GB2312" w:hAnsi="仿宋_GB2312" w:eastAsia="仿宋_GB2312" w:cs="仿宋_GB2312"/>
          <w:sz w:val="32"/>
          <w:szCs w:val="32"/>
        </w:rPr>
        <w:t xml:space="preserve"> 本物业项目由海南省人民检察院牵头招投标，乙方承包本合同物业项目叁年服务合同总价为人民币</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元（大写：</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，海南省人民检察院和第一分院分别签订合同并承担相应物业费用。服务费用包含：人员工资、五项社保、住房公积金、工作服、高温补贴、加班费、各种福利、管理费（工会基金、教育基金等）及税金等费用。</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sz w:val="32"/>
          <w:szCs w:val="32"/>
        </w:rPr>
        <w:t>第七条</w:t>
      </w:r>
      <w:r>
        <w:rPr>
          <w:rFonts w:hint="eastAsia" w:ascii="仿宋_GB2312" w:hAnsi="仿宋_GB2312" w:eastAsia="仿宋_GB2312" w:cs="仿宋_GB2312"/>
          <w:sz w:val="32"/>
          <w:szCs w:val="32"/>
        </w:rPr>
        <w:t xml:space="preserve"> 物业服务费用按月支付。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。甲方收到乙方付款申请、有效税务发票后，经审核符合付款要求的，甲方在5个工作日内给乙方支付上个月服务费（节假日顺延）。</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本合同期限内不再调整任何服务费用。如因工作需要增加服务项目、内容，则按投标时对应岗位人员费用标准核算服务费用，另行签订补充协议。</w:t>
      </w:r>
    </w:p>
    <w:p>
      <w:pPr>
        <w:keepNext w:val="0"/>
        <w:keepLines w:val="0"/>
        <w:pageBreakBefore w:val="0"/>
        <w:kinsoku/>
        <w:wordWrap/>
        <w:overflowPunct/>
        <w:topLinePunct w:val="0"/>
        <w:autoSpaceDE/>
        <w:autoSpaceDN/>
        <w:bidi w:val="0"/>
        <w:adjustRightInd w:val="0"/>
        <w:snapToGrid w:val="0"/>
        <w:spacing w:line="560" w:lineRule="exact"/>
        <w:ind w:firstLine="477" w:firstLineChars="151"/>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第八条</w:t>
      </w:r>
      <w:r>
        <w:rPr>
          <w:rFonts w:hint="eastAsia" w:ascii="仿宋_GB2312" w:hAnsi="仿宋_GB2312" w:eastAsia="仿宋_GB2312" w:cs="仿宋_GB2312"/>
          <w:sz w:val="32"/>
          <w:szCs w:val="32"/>
        </w:rPr>
        <w:t xml:space="preserve"> 服务设备工具、场地维修由甲方负责。</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sz w:val="32"/>
          <w:szCs w:val="32"/>
        </w:rPr>
      </w:pPr>
      <w:r>
        <w:rPr>
          <w:rFonts w:hint="eastAsia" w:ascii="仿宋_GB2312" w:hAnsi="仿宋_GB2312" w:eastAsia="仿宋_GB2312" w:cs="仿宋_GB2312"/>
          <w:kern w:val="2"/>
          <w:sz w:val="32"/>
          <w:szCs w:val="32"/>
        </w:rPr>
        <w:t>第九条</w:t>
      </w:r>
      <w:r>
        <w:rPr>
          <w:rFonts w:hint="eastAsia" w:ascii="仿宋_GB2312" w:hAnsi="仿宋_GB2312" w:eastAsia="仿宋_GB2312" w:cs="仿宋_GB2312"/>
          <w:b w:val="0"/>
          <w:sz w:val="32"/>
          <w:szCs w:val="32"/>
        </w:rPr>
        <w:t xml:space="preserve"> 合同履行条件。</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rPr>
      </w:pPr>
      <w:r>
        <w:rPr>
          <w:rFonts w:hint="eastAsia" w:ascii="仿宋_GB2312" w:hAnsi="仿宋_GB2312" w:eastAsia="仿宋_GB2312" w:cs="仿宋_GB2312"/>
          <w:b w:val="0"/>
          <w:kern w:val="2"/>
          <w:sz w:val="32"/>
          <w:szCs w:val="32"/>
          <w:lang w:val="en-US" w:eastAsia="zh-CN"/>
        </w:rPr>
        <w:t xml:space="preserve">    </w:t>
      </w:r>
      <w:r>
        <w:rPr>
          <w:rFonts w:hint="eastAsia" w:ascii="仿宋_GB2312" w:hAnsi="仿宋_GB2312" w:eastAsia="仿宋_GB2312" w:cs="仿宋_GB2312"/>
          <w:b w:val="0"/>
          <w:kern w:val="2"/>
          <w:sz w:val="32"/>
          <w:szCs w:val="32"/>
        </w:rPr>
        <w:t>甲方对乙方的服务质量进行全过程监督，乙方日常工作不到位、或出现违约现象、或考核不达标，将依据合同约定，做出违约责任认定及处理。</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lang w:val="en-US" w:eastAsia="zh-CN"/>
        </w:rPr>
        <w:t xml:space="preserve">    </w:t>
      </w:r>
      <w:r>
        <w:rPr>
          <w:rFonts w:hint="eastAsia" w:ascii="仿宋_GB2312" w:hAnsi="仿宋_GB2312" w:eastAsia="仿宋_GB2312" w:cs="仿宋_GB2312"/>
          <w:b w:val="0"/>
          <w:sz w:val="32"/>
          <w:szCs w:val="32"/>
        </w:rPr>
        <w:t>合同每年签订一次，一年期满经考核验收合格后，甲方与乙方续签合同。若考核验收不合格，乙方在规定时间内整改到位后方能续签合同。</w:t>
      </w:r>
    </w:p>
    <w:p>
      <w:pPr>
        <w:keepNext w:val="0"/>
        <w:keepLines w:val="0"/>
        <w:pageBreakBefore w:val="0"/>
        <w:kinsoku/>
        <w:wordWrap/>
        <w:overflowPunct/>
        <w:topLinePunct w:val="0"/>
        <w:autoSpaceDE/>
        <w:autoSpaceDN/>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164" w:firstLineChars="52"/>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第五章 违约责任</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lang w:eastAsia="zh-CN"/>
        </w:rPr>
      </w:pPr>
      <w:r>
        <w:rPr>
          <w:rFonts w:hint="eastAsia" w:ascii="仿宋_GB2312" w:hAnsi="仿宋_GB2312" w:eastAsia="仿宋_GB2312" w:cs="仿宋_GB2312"/>
          <w:b/>
          <w:sz w:val="32"/>
          <w:szCs w:val="32"/>
        </w:rPr>
        <w:t>第十条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未按合同约定履行义务（如逾期付款、未提供必要协作等），导致</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无法完成服务目标的，</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有权要求</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在5个工作日内整改，</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逾期未整改，</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有权解除合同，并要求</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赔偿直接损失。</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lang w:eastAsia="zh-CN"/>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一</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违反本合同的约定，未能达到服务标准，</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有权要求</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在5个工作日内整改，乙方逾期未整改或整改后仍不符合合同约定的，</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有权单方面解除合同，且</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应当支付合同总额</w:t>
      </w:r>
      <w:r>
        <w:rPr>
          <w:rFonts w:hint="eastAsia" w:ascii="仿宋_GB2312" w:hAnsi="仿宋_GB2312" w:eastAsia="仿宋_GB2312" w:cs="仿宋_GB2312"/>
          <w:b w:val="0"/>
          <w:color w:val="FF0000"/>
          <w:kern w:val="2"/>
          <w:sz w:val="32"/>
          <w:szCs w:val="32"/>
          <w:lang w:val="en-US" w:eastAsia="zh-CN"/>
        </w:rPr>
        <w:t>20%</w:t>
      </w:r>
      <w:r>
        <w:rPr>
          <w:rFonts w:hint="eastAsia" w:ascii="仿宋_GB2312" w:hAnsi="仿宋_GB2312" w:eastAsia="仿宋_GB2312" w:cs="仿宋_GB2312"/>
          <w:b w:val="0"/>
          <w:kern w:val="2"/>
          <w:sz w:val="32"/>
          <w:szCs w:val="32"/>
          <w:lang w:val="en-US" w:eastAsia="zh-CN"/>
        </w:rPr>
        <w:t>的违约金，违约金不足以弥补</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损失的，</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应当继续赔偿由此给</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造成的全部经济损失。</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lang w:val="en-US" w:eastAsia="zh-CN"/>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二</w:t>
      </w:r>
      <w:r>
        <w:rPr>
          <w:rFonts w:hint="eastAsia" w:ascii="仿宋_GB2312" w:hAnsi="仿宋_GB2312" w:eastAsia="仿宋_GB2312" w:cs="仿宋_GB2312"/>
          <w:b/>
          <w:sz w:val="32"/>
          <w:szCs w:val="32"/>
        </w:rPr>
        <w:t>条</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原因造成</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不能按合同约定期限完成任务，应相应给</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顺延完成任务的时间，</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不再支付额外费用。</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lang w:val="en-US" w:eastAsia="zh-CN"/>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三</w:t>
      </w:r>
      <w:r>
        <w:rPr>
          <w:rFonts w:hint="eastAsia" w:ascii="仿宋_GB2312" w:hAnsi="仿宋_GB2312" w:eastAsia="仿宋_GB2312" w:cs="仿宋_GB2312"/>
          <w:b/>
          <w:sz w:val="32"/>
          <w:szCs w:val="32"/>
        </w:rPr>
        <w:t>条</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kern w:val="2"/>
          <w:sz w:val="32"/>
          <w:szCs w:val="32"/>
          <w:lang w:val="en-US" w:eastAsia="zh-CN"/>
        </w:rPr>
        <w:t>未经</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书面认可，</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擅自以任何形式将本合同的主要义务转委托任何第三方履行的，</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有权解除合同，除要求</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返还已支付款项外，同时要求</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赔偿损失并支付合同总金额20%的违约金，由此给</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造成的一切经济损失均由</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承担。</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lang w:val="en-US" w:eastAsia="zh-CN"/>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四</w:t>
      </w:r>
      <w:r>
        <w:rPr>
          <w:rFonts w:hint="eastAsia" w:ascii="仿宋_GB2312" w:hAnsi="仿宋_GB2312" w:eastAsia="仿宋_GB2312" w:cs="仿宋_GB2312"/>
          <w:b/>
          <w:sz w:val="32"/>
          <w:szCs w:val="32"/>
        </w:rPr>
        <w:t>条</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kern w:val="2"/>
          <w:sz w:val="32"/>
          <w:szCs w:val="32"/>
          <w:lang w:val="en-US" w:eastAsia="zh-CN"/>
        </w:rPr>
        <w:t>合同生效后，除法律法规或者本合同另有规定外，未经双方协商一致，</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无故终止或解除合同，</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应在终止履行合同之日起返还</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已付的所有费用，并向</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支付20%的违约金，如因此对</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造成损失的，</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全部赔偿。</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lang w:val="en-US" w:eastAsia="zh-CN"/>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五</w:t>
      </w:r>
      <w:r>
        <w:rPr>
          <w:rFonts w:hint="eastAsia" w:ascii="仿宋_GB2312" w:hAnsi="仿宋_GB2312" w:eastAsia="仿宋_GB2312" w:cs="仿宋_GB2312"/>
          <w:b/>
          <w:sz w:val="32"/>
          <w:szCs w:val="32"/>
        </w:rPr>
        <w:t>条</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未按本合同约定内容履行义务，出现除以上条款中约定的违约行为的，应承担违约责任，按合同总金额20%支付违约金并赔偿</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因此受到的全部损失。</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150"/>
        <w:rPr>
          <w:rFonts w:hint="eastAsia" w:ascii="仿宋_GB2312" w:hAnsi="仿宋_GB2312" w:eastAsia="仿宋_GB2312" w:cs="仿宋_GB2312"/>
          <w:b w:val="0"/>
          <w:kern w:val="2"/>
          <w:sz w:val="32"/>
          <w:szCs w:val="32"/>
          <w:lang w:val="en-US" w:eastAsia="zh-CN"/>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七</w:t>
      </w:r>
      <w:r>
        <w:rPr>
          <w:rFonts w:hint="eastAsia" w:ascii="仿宋_GB2312" w:hAnsi="仿宋_GB2312" w:eastAsia="仿宋_GB2312" w:cs="仿宋_GB2312"/>
          <w:b/>
          <w:sz w:val="32"/>
          <w:szCs w:val="32"/>
        </w:rPr>
        <w:t>条</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kern w:val="2"/>
          <w:sz w:val="32"/>
          <w:szCs w:val="32"/>
          <w:lang w:val="en" w:eastAsia="zh-CN"/>
        </w:rPr>
        <w:t>乙方</w:t>
      </w:r>
      <w:r>
        <w:rPr>
          <w:rFonts w:hint="eastAsia" w:ascii="仿宋_GB2312" w:hAnsi="仿宋_GB2312" w:eastAsia="仿宋_GB2312" w:cs="仿宋_GB2312"/>
          <w:b w:val="0"/>
          <w:kern w:val="2"/>
          <w:sz w:val="32"/>
          <w:szCs w:val="32"/>
          <w:lang w:val="en-US" w:eastAsia="zh-CN"/>
        </w:rPr>
        <w:t>在服务期内应严格按照</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对人员资质的相关要求提供人力服务保障，除首月支付物业服务费之外，每月支付费用前应要向</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提交人员工资发放表和社保缴费清单，人员出现变动时，应主动提交补充和接替人员的资质进行备案，并确保补充和接替人员具备同等资质，乙方私自变动物业服务人员的，</w:t>
      </w:r>
      <w:r>
        <w:rPr>
          <w:rFonts w:hint="eastAsia" w:ascii="仿宋_GB2312" w:hAnsi="仿宋_GB2312" w:eastAsia="仿宋_GB2312" w:cs="仿宋_GB2312"/>
          <w:b w:val="0"/>
          <w:kern w:val="2"/>
          <w:sz w:val="32"/>
          <w:szCs w:val="32"/>
          <w:lang w:val="en" w:eastAsia="zh-CN"/>
        </w:rPr>
        <w:t>甲方</w:t>
      </w:r>
      <w:r>
        <w:rPr>
          <w:rFonts w:hint="eastAsia" w:ascii="仿宋_GB2312" w:hAnsi="仿宋_GB2312" w:eastAsia="仿宋_GB2312" w:cs="仿宋_GB2312"/>
          <w:b w:val="0"/>
          <w:kern w:val="2"/>
          <w:sz w:val="32"/>
          <w:szCs w:val="32"/>
          <w:lang w:val="en-US" w:eastAsia="zh-CN"/>
        </w:rPr>
        <w:t>扣除当月物业服务费的10%作为违约金。</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第</w:t>
      </w:r>
      <w:r>
        <w:rPr>
          <w:rFonts w:hint="eastAsia" w:ascii="仿宋_GB2312" w:hAnsi="仿宋_GB2312" w:cs="仿宋_GB2312"/>
          <w:b/>
          <w:sz w:val="32"/>
          <w:szCs w:val="32"/>
          <w:lang w:val="en-US" w:eastAsia="zh-CN"/>
        </w:rPr>
        <w:t>X</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lang w:val="en-US" w:eastAsia="zh-CN"/>
        </w:rPr>
        <w:t>（如需增加的条款）</w:t>
      </w:r>
    </w:p>
    <w:p>
      <w:pPr>
        <w:pStyle w:val="3"/>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leftChars="0"/>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第六章 合同终止</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八</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rPr>
        <w:t xml:space="preserve"> 本合同履行期间，如乙方出现重大责任事故，本合同自动终止。重大责任事故是指因乙方原因，造成人员伤亡事故或导致甲方财产损失</w:t>
      </w:r>
      <w:r>
        <w:rPr>
          <w:rFonts w:hint="eastAsia" w:ascii="仿宋_GB2312" w:hAnsi="仿宋_GB2312" w:cs="仿宋_GB2312"/>
          <w:color w:val="FF0000"/>
          <w:sz w:val="32"/>
          <w:szCs w:val="32"/>
          <w:u w:val="single"/>
          <w:lang w:val="en-US" w:eastAsia="zh-CN"/>
        </w:rPr>
        <w:t>50万</w:t>
      </w:r>
      <w:r>
        <w:rPr>
          <w:rFonts w:hint="eastAsia" w:ascii="仿宋_GB2312" w:hAnsi="仿宋_GB2312" w:eastAsia="仿宋_GB2312" w:cs="仿宋_GB2312"/>
          <w:sz w:val="32"/>
          <w:szCs w:val="32"/>
        </w:rPr>
        <w:t>元（含）以上或在政治上的影响。</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eastAsia="zh-CN"/>
        </w:rPr>
        <w:t>九</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rPr>
        <w:t xml:space="preserve"> 乙方无法完成本合同项目工作任务，本合同终止。乙方服务质量未达到本合同约定的标准，如乙方在甲方规定期限内无法完成整改任务，本合同终止。</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w:t>
      </w:r>
      <w:r>
        <w:rPr>
          <w:rFonts w:hint="eastAsia" w:ascii="仿宋_GB2312" w:hAnsi="仿宋_GB2312" w:eastAsia="仿宋_GB2312" w:cs="仿宋_GB2312"/>
          <w:b/>
          <w:sz w:val="32"/>
          <w:szCs w:val="32"/>
          <w:lang w:eastAsia="zh-CN"/>
        </w:rPr>
        <w:t>二十</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rPr>
        <w:t xml:space="preserve"> 因客观情况发生重大变化或不可抗力，造成本合同无法继续履行，本合同终止。出现本合同第五章第十条、第十一条、第十四条、第十五条情形之一的，本合同终止。</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第二十一条</w:t>
      </w:r>
      <w:r>
        <w:rPr>
          <w:rFonts w:hint="eastAsia" w:ascii="仿宋_GB2312" w:hAnsi="仿宋_GB2312" w:eastAsia="仿宋_GB2312" w:cs="仿宋_GB2312"/>
          <w:sz w:val="32"/>
          <w:szCs w:val="32"/>
        </w:rPr>
        <w:t xml:space="preserve"> 本合同期满后自动终止。若因工作需要延期的，在法律法规范围内由双方协商延期时间，相关事宜继续按原合同履行。</w:t>
      </w:r>
    </w:p>
    <w:p>
      <w:pPr>
        <w:keepNext w:val="0"/>
        <w:keepLines w:val="0"/>
        <w:pageBreakBefore w:val="0"/>
        <w:kinsoku/>
        <w:wordWrap/>
        <w:overflowPunct/>
        <w:topLinePunct w:val="0"/>
        <w:autoSpaceDE/>
        <w:autoSpaceDN/>
        <w:bidi w:val="0"/>
        <w:spacing w:line="560" w:lineRule="exact"/>
        <w:rPr>
          <w:rFonts w:hint="eastAsia" w:ascii="仿宋_GB2312" w:hAnsi="仿宋_GB2312" w:eastAsia="仿宋_GB2312" w:cs="仿宋_GB2312"/>
          <w:b/>
          <w:sz w:val="32"/>
          <w:szCs w:val="32"/>
        </w:rPr>
      </w:pPr>
    </w:p>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第七章 保密条款</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根据《海南省重要涉密单位后勤外包服务保密管理办法》有关规定，乙方应自觉主动做好以下保密事项：</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第二十二条</w:t>
      </w:r>
      <w:r>
        <w:rPr>
          <w:rFonts w:hint="eastAsia" w:ascii="仿宋_GB2312" w:hAnsi="仿宋_GB2312" w:eastAsia="仿宋_GB2312" w:cs="仿宋_GB2312"/>
          <w:sz w:val="32"/>
          <w:szCs w:val="32"/>
        </w:rPr>
        <w:t xml:space="preserve"> 参与物业管理、进入甲方物业管理范围内的乙方公司高管、物业管理人员、普通员工须为中国国籍。</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第二十三条</w:t>
      </w:r>
      <w:r>
        <w:rPr>
          <w:rFonts w:hint="eastAsia" w:ascii="仿宋_GB2312" w:hAnsi="仿宋_GB2312" w:eastAsia="仿宋_GB2312" w:cs="仿宋_GB2312"/>
          <w:sz w:val="32"/>
          <w:szCs w:val="32"/>
        </w:rPr>
        <w:t xml:space="preserve"> 乙方与职工须签订保密协议。</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第二十四条</w:t>
      </w:r>
      <w:r>
        <w:rPr>
          <w:rFonts w:hint="eastAsia" w:ascii="仿宋_GB2312" w:hAnsi="仿宋_GB2312" w:eastAsia="仿宋_GB2312" w:cs="仿宋_GB2312"/>
          <w:sz w:val="32"/>
          <w:szCs w:val="32"/>
        </w:rPr>
        <w:t xml:space="preserve"> 乙方须制定保密管理规定，定期开展保密教育培训，并主动接收甲方的保密检查。</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第二十五条</w:t>
      </w:r>
      <w:r>
        <w:rPr>
          <w:rFonts w:hint="eastAsia" w:ascii="仿宋_GB2312" w:hAnsi="仿宋_GB2312" w:eastAsia="仿宋_GB2312" w:cs="仿宋_GB2312"/>
          <w:sz w:val="32"/>
          <w:szCs w:val="32"/>
        </w:rPr>
        <w:t xml:space="preserve"> 乙方要督促本公司人员严格遵守保密工作制度，任何人员不得以任何理由在甲方物业服务范围内的任何地点私自翻阅、复印、夹带、翻拍任何文件和资料，不得向甲方工作人员打探、询问案件情况，不得将甲方内部工作情况随意向外界人员透露，否则承担应有的法律后果。</w:t>
      </w:r>
    </w:p>
    <w:p>
      <w:pPr>
        <w:keepNext w:val="0"/>
        <w:keepLines w:val="0"/>
        <w:pageBreakBefore w:val="0"/>
        <w:kinsoku/>
        <w:wordWrap/>
        <w:overflowPunct/>
        <w:topLinePunct w:val="0"/>
        <w:autoSpaceDE/>
        <w:autoSpaceDN/>
        <w:bidi w:val="0"/>
        <w:adjustRightInd w:val="0"/>
        <w:snapToGrid w:val="0"/>
        <w:spacing w:line="560" w:lineRule="exact"/>
        <w:ind w:firstLine="164" w:firstLineChars="52"/>
        <w:jc w:val="center"/>
        <w:rPr>
          <w:rFonts w:hint="eastAsia" w:ascii="仿宋_GB2312" w:hAnsi="仿宋_GB2312" w:eastAsia="仿宋_GB2312" w:cs="仿宋_GB2312"/>
          <w:b/>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164" w:firstLineChars="52"/>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第八章 附则</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第二十六条</w:t>
      </w:r>
      <w:r>
        <w:rPr>
          <w:rFonts w:hint="eastAsia" w:ascii="仿宋_GB2312" w:hAnsi="仿宋_GB2312" w:eastAsia="仿宋_GB2312" w:cs="仿宋_GB2312"/>
          <w:sz w:val="32"/>
          <w:szCs w:val="32"/>
        </w:rPr>
        <w:t xml:space="preserve"> 本合同从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日起生效。在履行本合同期间，如发生争议，双方应协商解决，协商不成双方可向本合同签订地人民法院提起诉讼。</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第二十七条</w:t>
      </w:r>
      <w:r>
        <w:rPr>
          <w:rFonts w:hint="eastAsia" w:ascii="仿宋_GB2312" w:hAnsi="仿宋_GB2312" w:eastAsia="仿宋_GB2312" w:cs="仿宋_GB2312"/>
          <w:sz w:val="32"/>
          <w:szCs w:val="32"/>
        </w:rPr>
        <w:t xml:space="preserve"> 甲乙双方可对本合同的条款进行补充，以书面形式签订补充协议，补充协议与本合同具有同等效力。本合同及其附件和补充协议中未规定的事宜，均遵照国家和海南省政府有关法律、法规和规章执行。</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第二十八条</w:t>
      </w:r>
      <w:r>
        <w:rPr>
          <w:rFonts w:hint="eastAsia" w:ascii="仿宋_GB2312" w:hAnsi="仿宋_GB2312" w:eastAsia="仿宋_GB2312" w:cs="仿宋_GB2312"/>
          <w:sz w:val="32"/>
          <w:szCs w:val="32"/>
        </w:rPr>
        <w:t xml:space="preserve"> 《海南省人民检察院物业服务项目招标文件》与本合同具有同等法律效力。</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第二十九条</w:t>
      </w:r>
      <w:r>
        <w:rPr>
          <w:rFonts w:hint="eastAsia" w:ascii="仿宋_GB2312" w:hAnsi="仿宋_GB2312" w:eastAsia="仿宋_GB2312" w:cs="仿宋_GB2312"/>
          <w:sz w:val="32"/>
          <w:szCs w:val="32"/>
        </w:rPr>
        <w:t xml:space="preserve"> 下列附件为本合同组成部分，与本合同具有同等法律效力。</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1、附件一：《物业委托服务内容和标准》。</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2、附件二：《岗位设置表》。</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3、附件三：《物业委托服务费用清单》。</w:t>
      </w: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本合同壹式陆份，甲方执叁份，乙方执叁份，具有同等法律效力。</w:t>
      </w:r>
    </w:p>
    <w:p>
      <w:pPr>
        <w:keepNext w:val="0"/>
        <w:keepLines w:val="0"/>
        <w:pageBreakBefore w:val="0"/>
        <w:kinsoku/>
        <w:wordWrap/>
        <w:overflowPunct/>
        <w:topLinePunct w:val="0"/>
        <w:autoSpaceDE/>
        <w:autoSpaceDN/>
        <w:bidi w:val="0"/>
        <w:adjustRightInd w:val="0"/>
        <w:snapToGrid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甲方：                            乙方： </w:t>
      </w:r>
    </w:p>
    <w:p>
      <w:pPr>
        <w:keepNext w:val="0"/>
        <w:keepLines w:val="0"/>
        <w:pageBreakBefore w:val="0"/>
        <w:kinsoku/>
        <w:wordWrap/>
        <w:overflowPunct/>
        <w:topLinePunct w:val="0"/>
        <w:autoSpaceDE/>
        <w:autoSpaceDN/>
        <w:bidi w:val="0"/>
        <w:adjustRightInd w:val="0"/>
        <w:snapToGrid w:val="0"/>
        <w:spacing w:line="560" w:lineRule="exact"/>
        <w:ind w:firstLine="632"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代表人：                          代表人：</w:t>
      </w:r>
    </w:p>
    <w:bookmarkEnd w:id="7"/>
    <w:p>
      <w:pPr>
        <w:keepNext w:val="0"/>
        <w:keepLines w:val="0"/>
        <w:pageBreakBefore w:val="0"/>
        <w:kinsoku/>
        <w:wordWrap/>
        <w:overflowPunct/>
        <w:topLinePunct w:val="0"/>
        <w:autoSpaceDE/>
        <w:autoSpaceDN/>
        <w:bidi w:val="0"/>
        <w:adjustRightInd w:val="0"/>
        <w:snapToGrid w:val="0"/>
        <w:spacing w:line="56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签订日期：                        签订日期：</w:t>
      </w: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pStyle w:val="2"/>
        <w:rPr>
          <w:rFonts w:hint="eastAsia" w:ascii="黑体" w:hAnsi="黑体" w:eastAsia="黑体" w:cs="黑体"/>
          <w:sz w:val="32"/>
          <w:szCs w:val="32"/>
        </w:rPr>
      </w:pPr>
    </w:p>
    <w:p>
      <w:pPr>
        <w:pStyle w:val="2"/>
        <w:rPr>
          <w:rFonts w:hint="eastAsia" w:ascii="黑体" w:hAnsi="黑体" w:eastAsia="黑体" w:cs="黑体"/>
          <w:sz w:val="32"/>
          <w:szCs w:val="32"/>
        </w:rPr>
      </w:pPr>
    </w:p>
    <w:p>
      <w:pPr>
        <w:pStyle w:val="2"/>
        <w:rPr>
          <w:rFonts w:hint="eastAsia" w:ascii="黑体" w:hAnsi="黑体" w:eastAsia="黑体" w:cs="黑体"/>
          <w:sz w:val="32"/>
          <w:szCs w:val="32"/>
        </w:rPr>
      </w:pPr>
    </w:p>
    <w:p>
      <w:pPr>
        <w:pStyle w:val="2"/>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附件一</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物业委托服务内容和标准</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一、环卫保洁服务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楼梯、大厅、走廊、天台（屋顶）、电梯间、电梯门及轿厢、卫生间、办公楼开水间、落地玻璃等所有公共部位及其附属相关设施的卫生保洁，司法技术部鉴定实验室、干警体能训练中心、检察沙龙的卫生保洁，道路、停车场（库）等所有公共场地及其配套设施（如标志牌、落沙井、排水沟等）的清扫保洁，公共设施报修，配合甲方做好其他相关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建立环境卫生管理制度并认真落实，环卫设施齐全，做到垃圾日产日清，公共区域每日早上7:50前完成清扫任务，无卫生死角，专人分片分区打扫，加强巡查巡检，随时保洁，容貌整洁；每月对各办公楼大厅地板大理石、无锈钢件养护一次，每周对各种标志牌、铭牌等擦拭一次，所有公共区域及配套附属设施保持清洁干净，无随意堆放杂物，不见废弃物；楼内公共部位无污渍、无积尘、无蜘蛛网，公共卫生间洁净无异味，卫生间、开水间管道畅通、无积水，办公楼每天上午上班前半个小时煮好开水；区域内落沙井、各种排水沟畅通、无堵塞；屋顶、平台每月清扫二次，做到无垃圾、无堵塞；发现设施损坏，及时报修；认真组织人力做好抗风救灾工作，及时排除险情及完成善后恢复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二、绿化养护服务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1、服务内容：整枝修剪、淋水施肥、病虫害防治、除杂草，清理枯枝败叶，绿地内卫生清理，配合甲方做好其他相关工作。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建立绿化管理制度并认真落实，绿化作业工具齐全，做到树木花草长势良好，无枯枝死树、败叶及无病虫害现象，台风季节全面修整树枝，乔灌木、绿篱、花卉、绿地等定期修剪整齐美观，杂草不明显，无红土裸露；户内公共场所各种盆栽花卉无枯枝、黄叶、败叶及无虫害，叶枝上无明显积尘，盆内无垃圾、烟头、纸屑；绿地管理和养护措施落实，无破坏、践踏及随意占用现象；及时清理椰子树椰果、枯枝，消除安全隐患；发现设施损坏，及时报修；认真组织人力做好抗风救灾工作，及时排除险情及完成善后恢复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三、领导办公室（含会客室、休息室）服务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1、服务内容：卫生保洁、开水供应、绿植养护等，配合甲方做好其他相关工作。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保持办公室、会客室、休息室和卫生间及配套设施整洁干净，不随意移动物品摆放位置。无灰尘、无蜘蛛网、无污迹、无异味，卫生间无积水；休息室床单、枕套等床上用品每月至少换洗一次，保证无破损、无毛发、无污迹；室内绿植无枯枝败叶、无病虫害，叶面及花盆盆面无污迹、无灰尘，盆内无垃圾、烟头、纸屑，花盆底无积水杂物，植物无缺水干旱现象，叶面、盆面干净光亮，植物长势良好，对长势不佳、观赏效果不好的植物及时更换；注意检查办公室、会客室、休息室和卫生间照明、插座、门锁、卫生洁具等设施，及时报修和补充日常耗品；不得翻阅任何文件、资料，严格遵守保密工作制度，严守秘密；发现设施损坏，及时报修；认真组织人力做好抗风救灾工作，及时排除险情及完成善后恢复任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四、会议服务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1、服务内容：会场（含贵宾室）卫生保洁、茶水供应、桌椅摆设布置，配合甲方做好重大会议、重大活动服务保障工作。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建立会场管理制度，制订会议服务规程并认真落实。做好会场保洁工作，会场干净整洁、无蜘蛛网，设施设备无污迹、无灰尘；按会议需要摆设会议桌椅，桌椅摆放整齐、稳固、无破损，台面水杯、毛巾碟等物品按标准摆放。大型会议在会前一天布置好会场，中型会议在会前半天布置好会场。检查会场照明、挂钟，各种设施正常良好；服务工作人员会前1小时到岗，开门、开灯、开空调，并对会场全面检查及再次保洁；会后收拾整理会场，做好洗杯、消毒等工作，如有遗留物要迅速上交，草稿纸回收，关灯、关空调、关门等；发现设施损坏，及时报修；认真组织人力做好抗风救灾工作，及时排除险情及完成善后恢复工作。</w:t>
      </w:r>
    </w:p>
    <w:p>
      <w:pPr>
        <w:keepNext w:val="0"/>
        <w:keepLines w:val="0"/>
        <w:pageBreakBefore w:val="0"/>
        <w:kinsoku/>
        <w:wordWrap/>
        <w:overflowPunct/>
        <w:topLinePunct w:val="0"/>
        <w:autoSpaceDE/>
        <w:autoSpaceDN/>
        <w:bidi w:val="0"/>
        <w:spacing w:line="560" w:lineRule="exact"/>
        <w:ind w:firstLine="711"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五、灭四害服务</w:t>
      </w:r>
    </w:p>
    <w:p>
      <w:pPr>
        <w:keepNext w:val="0"/>
        <w:keepLines w:val="0"/>
        <w:pageBreakBefore w:val="0"/>
        <w:kinsoku/>
        <w:wordWrap/>
        <w:overflowPunct/>
        <w:topLinePunct w:val="0"/>
        <w:autoSpaceDE/>
        <w:autoSpaceDN/>
        <w:bidi w:val="0"/>
        <w:spacing w:line="560" w:lineRule="exact"/>
        <w:ind w:firstLine="711"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1、服务内容：配合甲方做好对苍蝇、蚊子、蟑螂、老鼠的灭治工作。</w:t>
      </w:r>
    </w:p>
    <w:p>
      <w:pPr>
        <w:keepNext w:val="0"/>
        <w:keepLines w:val="0"/>
        <w:pageBreakBefore w:val="0"/>
        <w:kinsoku/>
        <w:wordWrap/>
        <w:overflowPunct/>
        <w:topLinePunct w:val="0"/>
        <w:autoSpaceDE/>
        <w:autoSpaceDN/>
        <w:bidi w:val="0"/>
        <w:spacing w:line="560" w:lineRule="exact"/>
        <w:ind w:firstLine="711"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2、服务标准：达到国家、省、市、区爱国卫生检查评比标准；每月全面投放灭鼠药一次，每月全面喷洒灭蝇蚊、灭蟑螂药物各两次，投放灭鼠药前要做好告示工作，并负责清理死鼠。</w:t>
      </w:r>
    </w:p>
    <w:p>
      <w:pPr>
        <w:keepNext w:val="0"/>
        <w:keepLines w:val="0"/>
        <w:pageBreakBefore w:val="0"/>
        <w:kinsoku/>
        <w:wordWrap/>
        <w:overflowPunct/>
        <w:topLinePunct w:val="0"/>
        <w:autoSpaceDE/>
        <w:autoSpaceDN/>
        <w:bidi w:val="0"/>
        <w:spacing w:line="560" w:lineRule="exact"/>
        <w:ind w:firstLine="711" w:firstLineChars="225"/>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六、水电维护服务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1、服务内容：配合甲方做好水电设施设备检查和维修，做好办公楼开水器的保养和维修等。</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配合甲方工作人员定期对水电设备进行巡检，发现隐患立即采取措施；强、弱电间整洁，无杂物；组织人力做好抗风救灾工作，及时排除险情及完成善后恢复工作；认真做好电房、水泵房巡检及管理工作，按规范要求填写巡检记录，及时处理各种突发事故。</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七、干警体能训练中心、检察沙龙服务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1、服务内容：配合甲方做好干警体能训练中心、检察沙龙服务的卫生保洁、茶水供应、桌椅摆设布置，配合甲方做好重大会议、重大活动服务保障工作。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乙方要专门设置干警体能训练中心、检察沙龙管理员岗位，配合甲方工作人员进行管理，每日对干警体能训练中心、检察沙龙进行卫生清洁，对设施、设备（如乒乓球和拍、体能训练设施）和用水用电情况进行检查，防止丢失和损坏。及时上报体能训练设施损坏情况及存在的安全隐患。</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八、司法技术部鉴定中心实验室服务</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1、服务内容：配合甲方做好司法技术部鉴定中心实验室服务的卫生清洁工作。</w:t>
      </w:r>
    </w:p>
    <w:p>
      <w:pPr>
        <w:keepNext w:val="0"/>
        <w:keepLines w:val="0"/>
        <w:pageBreakBefore w:val="0"/>
        <w:kinsoku/>
        <w:wordWrap/>
        <w:overflowPunct/>
        <w:topLinePunct w:val="0"/>
        <w:autoSpaceDE/>
        <w:autoSpaceDN/>
        <w:bidi w:val="0"/>
        <w:spacing w:line="560" w:lineRule="exact"/>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2、服务标准：乙方要按照司法技术部鉴定中心实验室工作要求，每月对该场所开展卫生清洁2次。</w:t>
      </w:r>
    </w:p>
    <w:p>
      <w:pPr>
        <w:keepNext w:val="0"/>
        <w:keepLines w:val="0"/>
        <w:pageBreakBefore w:val="0"/>
        <w:kinsoku/>
        <w:wordWrap/>
        <w:overflowPunct/>
        <w:topLinePunct w:val="0"/>
        <w:autoSpaceDE/>
        <w:autoSpaceDN/>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40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40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400" w:lineRule="exact"/>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400" w:lineRule="exact"/>
        <w:rPr>
          <w:rFonts w:hint="eastAsia" w:ascii="黑体" w:hAnsi="黑体" w:eastAsia="黑体" w:cs="黑体"/>
          <w:sz w:val="32"/>
          <w:szCs w:val="32"/>
        </w:rPr>
      </w:pPr>
      <w:r>
        <w:rPr>
          <w:rFonts w:hint="eastAsia" w:ascii="黑体" w:hAnsi="黑体" w:eastAsia="黑体" w:cs="黑体"/>
          <w:sz w:val="32"/>
          <w:szCs w:val="32"/>
        </w:rPr>
        <w:t>附件二</w:t>
      </w:r>
    </w:p>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岗位设置表</w:t>
      </w:r>
    </w:p>
    <w:p>
      <w:pPr>
        <w:pStyle w:val="2"/>
        <w:rPr>
          <w:rFonts w:hint="eastAsia"/>
        </w:rPr>
      </w:pPr>
    </w:p>
    <w:tbl>
      <w:tblPr>
        <w:tblStyle w:val="6"/>
        <w:tblW w:w="89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0"/>
        <w:gridCol w:w="962"/>
        <w:gridCol w:w="1903"/>
        <w:gridCol w:w="980"/>
        <w:gridCol w:w="735"/>
        <w:gridCol w:w="975"/>
        <w:gridCol w:w="2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0"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序号</w:t>
            </w:r>
          </w:p>
        </w:tc>
        <w:tc>
          <w:tcPr>
            <w:tcW w:w="96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岗位种类</w:t>
            </w:r>
          </w:p>
        </w:tc>
        <w:tc>
          <w:tcPr>
            <w:tcW w:w="19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岗位名称</w:t>
            </w:r>
          </w:p>
        </w:tc>
        <w:tc>
          <w:tcPr>
            <w:tcW w:w="269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岗位人数</w:t>
            </w:r>
          </w:p>
        </w:tc>
        <w:tc>
          <w:tcPr>
            <w:tcW w:w="28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岗位职责和内容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96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总数</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省院</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一分院</w:t>
            </w:r>
          </w:p>
        </w:tc>
        <w:tc>
          <w:tcPr>
            <w:tcW w:w="281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6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物业领导</w:t>
            </w:r>
          </w:p>
        </w:tc>
        <w:tc>
          <w:tcPr>
            <w:tcW w:w="1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经理岗</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全面负责物业服务日常管理工作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经理助理兼文员岗</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协助经理做好服务管理和所有文档资料、考勤统计等工作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5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管理员</w:t>
            </w:r>
          </w:p>
        </w:tc>
        <w:tc>
          <w:tcPr>
            <w:tcW w:w="1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省院职工之家、干警体能训练中心管理岗</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负责省院职工之家、干警体能训练中心及检察沙龙管理及保洁工作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4</w:t>
            </w:r>
          </w:p>
        </w:tc>
        <w:tc>
          <w:tcPr>
            <w:tcW w:w="96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秩序维护员</w:t>
            </w:r>
          </w:p>
        </w:tc>
        <w:tc>
          <w:tcPr>
            <w:tcW w:w="1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秩序维护队长岗</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主管省院机关秩序维护工作，参加机关大门岗值班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5</w:t>
            </w:r>
          </w:p>
        </w:tc>
        <w:tc>
          <w:tcPr>
            <w:tcW w:w="96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省院机关大门秩序维护岗</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8</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负责省院机关秩序维护及安全警卫工作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6</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12309检察服务中心大门秩序维护岗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负责12309检察服务中心秩序维护及安全警卫工作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7</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12309检察服务中心大厅秩序维护岗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负责12309检察服务中心接访大厅秩序维护及安全警卫工作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8</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综合办公楼</w:t>
            </w:r>
            <w:r>
              <w:rPr>
                <w:rStyle w:val="9"/>
                <w:rFonts w:hint="eastAsia" w:ascii="仿宋_GB2312" w:hAnsi="仿宋_GB2312" w:eastAsia="仿宋_GB2312" w:cs="仿宋_GB2312"/>
                <w:color w:val="auto"/>
                <w:sz w:val="32"/>
                <w:szCs w:val="32"/>
                <w:lang w:val="en-US" w:eastAsia="zh-CN" w:bidi="ar"/>
              </w:rPr>
              <w:t>附</w:t>
            </w:r>
            <w:r>
              <w:rPr>
                <w:rStyle w:val="10"/>
                <w:rFonts w:hint="eastAsia" w:ascii="仿宋_GB2312" w:hAnsi="仿宋_GB2312" w:eastAsia="仿宋_GB2312" w:cs="仿宋_GB2312"/>
                <w:color w:val="auto"/>
                <w:sz w:val="32"/>
                <w:szCs w:val="32"/>
                <w:lang w:val="en-US" w:eastAsia="zh-CN" w:bidi="ar"/>
              </w:rPr>
              <w:t>楼大门秩序维护岗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3</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负责办公楼附楼秩序维护和安全警卫工作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9</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消防安全（监控）岗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负责大院消防安全和消防监控室24小时监控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10</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保洁员</w:t>
            </w: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保洁主管岗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主管保洁工作，参加室内保洁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11</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省院机关楼栋室内保洁岗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8</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4</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负责省院1号楼、2号楼等公共部分保洁工作以及司法鉴定中心实验室保洁工作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12309检察服务中心室内保洁岗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cs="仿宋_GB2312"/>
                <w:i w:val="0"/>
                <w:color w:val="auto"/>
                <w:kern w:val="0"/>
                <w:sz w:val="32"/>
                <w:szCs w:val="32"/>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负责12309检察服务中心各楼层保洁工作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13</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综合办公楼附楼室内保洁岗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负责办公楼附楼四至七层室内保洁工作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14</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省院机关室外保洁岗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负责省院机关室外保洁（含地下车库）及厨余垃圾清洁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15</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绿化员</w:t>
            </w: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绿化主管兼技术岗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主管省院机关绿化工作兼绿化技术员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16</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绿化工岗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负责省院机关绿化维护工作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17</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理发员</w:t>
            </w: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检察形象服务岗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负责省院、一分院干警理发工作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18</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洗衣员</w:t>
            </w: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检察形象服务岗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负责省院、一分院干警检察服洗涤工作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19</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会务服务员</w:t>
            </w: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省院会务服务岗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负责省院会议会务服务及保洁工作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20</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管理员</w:t>
            </w: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省院老干活动中心管理岗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负责省院老干部活动中心管理及保洁工作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21</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会务服务员</w:t>
            </w: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一分院会务服务岗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负责一分院会议会务服务及保洁工作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22</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管理员</w:t>
            </w: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一分院老干部活动中心管理岗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负责一分院老干部活动中心管理及保洁工作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23</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保洁员</w:t>
            </w: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一分院老干部活动中心保洁员岗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负责老干部活动中心保洁工作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24</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分发员</w:t>
            </w:r>
          </w:p>
        </w:tc>
        <w:tc>
          <w:tcPr>
            <w:tcW w:w="19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一分院报纸分发岗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负责一分院领取发放报纸工作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25</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水电工</w:t>
            </w: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一分院水电工岗</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1</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负责一分院水电维修维护工作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i w:val="0"/>
                <w:color w:val="auto"/>
                <w:sz w:val="32"/>
                <w:szCs w:val="32"/>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i w:val="0"/>
                <w:color w:val="auto"/>
                <w:sz w:val="32"/>
                <w:szCs w:val="32"/>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b/>
                <w:i w:val="0"/>
                <w:color w:val="auto"/>
                <w:sz w:val="32"/>
                <w:szCs w:val="32"/>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b/>
                <w:i w:val="0"/>
                <w:color w:val="auto"/>
                <w:sz w:val="32"/>
                <w:szCs w:val="32"/>
                <w:u w:val="none"/>
              </w:rPr>
            </w:pPr>
            <w:r>
              <w:rPr>
                <w:rFonts w:hint="eastAsia" w:ascii="仿宋_GB2312" w:hAnsi="仿宋_GB2312" w:eastAsia="仿宋_GB2312" w:cs="仿宋_GB2312"/>
                <w:b/>
                <w:i w:val="0"/>
                <w:color w:val="auto"/>
                <w:kern w:val="0"/>
                <w:sz w:val="32"/>
                <w:szCs w:val="32"/>
                <w:u w:val="none"/>
                <w:lang w:val="en-US" w:eastAsia="zh-CN" w:bidi="ar"/>
              </w:rPr>
              <w:t>57</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b/>
                <w:i w:val="0"/>
                <w:color w:val="auto"/>
                <w:sz w:val="32"/>
                <w:szCs w:val="32"/>
                <w:u w:val="none"/>
              </w:rPr>
            </w:pPr>
            <w:r>
              <w:rPr>
                <w:rFonts w:hint="eastAsia" w:ascii="仿宋_GB2312" w:hAnsi="仿宋_GB2312" w:eastAsia="仿宋_GB2312" w:cs="仿宋_GB2312"/>
                <w:b/>
                <w:i w:val="0"/>
                <w:color w:val="FF0000"/>
                <w:kern w:val="0"/>
                <w:sz w:val="32"/>
                <w:szCs w:val="32"/>
                <w:u w:val="none"/>
                <w:lang w:val="en-US" w:eastAsia="zh-CN" w:bidi="ar"/>
              </w:rPr>
              <w:t>3</w:t>
            </w:r>
            <w:r>
              <w:rPr>
                <w:rFonts w:hint="eastAsia" w:ascii="仿宋_GB2312" w:hAnsi="仿宋_GB2312" w:cs="仿宋_GB2312"/>
                <w:b/>
                <w:i w:val="0"/>
                <w:color w:val="FF0000"/>
                <w:kern w:val="0"/>
                <w:sz w:val="32"/>
                <w:szCs w:val="32"/>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b/>
                <w:i w:val="0"/>
                <w:color w:val="auto"/>
                <w:sz w:val="32"/>
                <w:szCs w:val="32"/>
                <w:u w:val="none"/>
              </w:rPr>
            </w:pPr>
            <w:r>
              <w:rPr>
                <w:rFonts w:hint="eastAsia" w:ascii="仿宋_GB2312" w:hAnsi="仿宋_GB2312" w:eastAsia="仿宋_GB2312" w:cs="仿宋_GB2312"/>
                <w:b/>
                <w:i w:val="0"/>
                <w:color w:val="auto"/>
                <w:kern w:val="0"/>
                <w:sz w:val="32"/>
                <w:szCs w:val="32"/>
                <w:u w:val="none"/>
                <w:lang w:val="en-US" w:eastAsia="zh-CN" w:bidi="ar"/>
              </w:rPr>
              <w:t>23</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b/>
                <w:i w:val="0"/>
                <w:color w:val="auto"/>
                <w:sz w:val="32"/>
                <w:szCs w:val="32"/>
                <w:u w:val="none"/>
              </w:rPr>
            </w:pPr>
          </w:p>
        </w:tc>
      </w:tr>
    </w:tbl>
    <w:p>
      <w:pPr>
        <w:keepNext w:val="0"/>
        <w:keepLines w:val="0"/>
        <w:pageBreakBefore w:val="0"/>
        <w:kinsoku/>
        <w:wordWrap/>
        <w:overflowPunct/>
        <w:topLinePunct w:val="0"/>
        <w:autoSpaceDE/>
        <w:autoSpaceDN/>
        <w:bidi w:val="0"/>
        <w:spacing w:line="560" w:lineRule="exact"/>
        <w:rPr>
          <w:rFonts w:hint="eastAsia" w:ascii="仿宋_GB2312" w:hAnsi="仿宋_GB2312" w:eastAsia="仿宋_GB2312" w:cs="仿宋_GB2312"/>
          <w:sz w:val="32"/>
          <w:szCs w:val="32"/>
        </w:rPr>
      </w:pPr>
    </w:p>
    <w:p>
      <w:pPr>
        <w:pStyle w:val="3"/>
        <w:keepNext w:val="0"/>
        <w:keepLines w:val="0"/>
        <w:pageBreakBefore w:val="0"/>
        <w:numPr>
          <w:ilvl w:val="0"/>
          <w:numId w:val="0"/>
        </w:numPr>
        <w:kinsoku/>
        <w:wordWrap/>
        <w:overflowPunct/>
        <w:topLinePunct w:val="0"/>
        <w:autoSpaceDE/>
        <w:autoSpaceDN/>
        <w:bidi w:val="0"/>
        <w:spacing w:line="560" w:lineRule="exact"/>
        <w:ind w:leftChars="0"/>
        <w:rPr>
          <w:rFonts w:hint="eastAsia" w:ascii="仿宋_GB2312" w:hAnsi="仿宋_GB2312" w:eastAsia="仿宋_GB2312" w:cs="仿宋_GB2312"/>
          <w:sz w:val="32"/>
          <w:szCs w:val="32"/>
        </w:rPr>
      </w:pPr>
    </w:p>
    <w:p>
      <w:pPr>
        <w:pStyle w:val="3"/>
        <w:keepNext w:val="0"/>
        <w:keepLines w:val="0"/>
        <w:pageBreakBefore w:val="0"/>
        <w:numPr>
          <w:ilvl w:val="0"/>
          <w:numId w:val="0"/>
        </w:numPr>
        <w:kinsoku/>
        <w:wordWrap/>
        <w:overflowPunct/>
        <w:topLinePunct w:val="0"/>
        <w:autoSpaceDE/>
        <w:autoSpaceDN/>
        <w:bidi w:val="0"/>
        <w:spacing w:line="560" w:lineRule="exact"/>
        <w:ind w:leftChars="0"/>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line="560" w:lineRule="exact"/>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附件三</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物业委托服务费用清单</w:t>
      </w:r>
      <w:bookmarkEnd w:id="1"/>
      <w:bookmarkEnd w:id="2"/>
      <w:bookmarkEnd w:id="8"/>
    </w:p>
    <w:p>
      <w:pPr>
        <w:pStyle w:val="2"/>
        <w:rPr>
          <w:rFonts w:hint="eastAsia"/>
        </w:rPr>
      </w:pPr>
    </w:p>
    <w:tbl>
      <w:tblPr>
        <w:tblStyle w:val="6"/>
        <w:tblW w:w="8976" w:type="dxa"/>
        <w:tblInd w:w="-55" w:type="dxa"/>
        <w:tblLayout w:type="fixed"/>
        <w:tblCellMar>
          <w:top w:w="0" w:type="dxa"/>
          <w:left w:w="108" w:type="dxa"/>
          <w:bottom w:w="0" w:type="dxa"/>
          <w:right w:w="108" w:type="dxa"/>
        </w:tblCellMar>
      </w:tblPr>
      <w:tblGrid>
        <w:gridCol w:w="387"/>
        <w:gridCol w:w="813"/>
        <w:gridCol w:w="236"/>
        <w:gridCol w:w="13"/>
        <w:gridCol w:w="1320"/>
        <w:gridCol w:w="6"/>
        <w:gridCol w:w="33"/>
        <w:gridCol w:w="404"/>
        <w:gridCol w:w="39"/>
        <w:gridCol w:w="441"/>
        <w:gridCol w:w="39"/>
        <w:gridCol w:w="434"/>
        <w:gridCol w:w="39"/>
        <w:gridCol w:w="1187"/>
        <w:gridCol w:w="39"/>
        <w:gridCol w:w="995"/>
        <w:gridCol w:w="39"/>
        <w:gridCol w:w="2473"/>
        <w:gridCol w:w="39"/>
      </w:tblGrid>
      <w:tr>
        <w:tblPrEx>
          <w:tblCellMar>
            <w:top w:w="0" w:type="dxa"/>
            <w:left w:w="108" w:type="dxa"/>
            <w:bottom w:w="0" w:type="dxa"/>
            <w:right w:w="108" w:type="dxa"/>
          </w:tblCellMar>
        </w:tblPrEx>
        <w:trPr>
          <w:gridAfter w:val="1"/>
          <w:wAfter w:w="39" w:type="dxa"/>
          <w:trHeight w:val="386" w:hRule="atLeast"/>
        </w:trPr>
        <w:tc>
          <w:tcPr>
            <w:tcW w:w="38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序号</w:t>
            </w:r>
          </w:p>
        </w:tc>
        <w:tc>
          <w:tcPr>
            <w:tcW w:w="81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w:t>
            </w:r>
          </w:p>
        </w:tc>
        <w:tc>
          <w:tcPr>
            <w:tcW w:w="1569"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w:t>
            </w:r>
          </w:p>
        </w:tc>
        <w:tc>
          <w:tcPr>
            <w:tcW w:w="1396"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人数</w:t>
            </w:r>
          </w:p>
        </w:tc>
        <w:tc>
          <w:tcPr>
            <w:tcW w:w="122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测算标准及方法（元/月·人）</w:t>
            </w:r>
          </w:p>
        </w:tc>
        <w:tc>
          <w:tcPr>
            <w:tcW w:w="103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金额（元/月）</w:t>
            </w:r>
          </w:p>
        </w:tc>
        <w:tc>
          <w:tcPr>
            <w:tcW w:w="251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测算依据</w:t>
            </w:r>
          </w:p>
        </w:tc>
      </w:tr>
      <w:tr>
        <w:tblPrEx>
          <w:tblCellMar>
            <w:top w:w="0" w:type="dxa"/>
            <w:left w:w="108" w:type="dxa"/>
            <w:bottom w:w="0" w:type="dxa"/>
            <w:right w:w="108" w:type="dxa"/>
          </w:tblCellMar>
        </w:tblPrEx>
        <w:trPr>
          <w:gridAfter w:val="1"/>
          <w:wAfter w:w="39" w:type="dxa"/>
          <w:trHeight w:val="1136" w:hRule="atLeast"/>
        </w:trPr>
        <w:tc>
          <w:tcPr>
            <w:tcW w:w="38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1569"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443" w:type="dxa"/>
            <w:gridSpan w:val="3"/>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103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51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764" w:hRule="atLeast"/>
        </w:trPr>
        <w:tc>
          <w:tcPr>
            <w:tcW w:w="387"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p>
        </w:tc>
        <w:tc>
          <w:tcPr>
            <w:tcW w:w="813" w:type="dxa"/>
            <w:vMerge w:val="restart"/>
            <w:tcBorders>
              <w:top w:val="nil"/>
              <w:left w:val="single" w:color="auto" w:sz="4" w:space="0"/>
              <w:bottom w:val="single" w:color="auto" w:sz="4" w:space="0"/>
              <w:right w:val="single" w:color="auto" w:sz="4" w:space="0"/>
            </w:tcBorders>
            <w:noWrap/>
            <w:textDirection w:val="tbRlV"/>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员工工资福利</w:t>
            </w: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物业经理</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1、《物业服务定价成本监审办法（试行）》—国家发展改革委、建设部—2007年9月10日               2、《关于工资总额组成的规定》—国家统计局令第一号              3、《海南省物业服务收费管理办法》—海南省物价局、海南省住房和城乡建设厅　　　　　</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4、《关于印发海南省2021年企业工资增长指导线的通知》－海南省人力资源和社会保障厅　　　5、《2021年海口市人力资源市场工资指导价位及2020年度行业人工成本信息》－海口市人力资源和社会保障局　　　　   </w:t>
            </w:r>
          </w:p>
        </w:tc>
      </w:tr>
      <w:tr>
        <w:tblPrEx>
          <w:tblCellMar>
            <w:top w:w="0" w:type="dxa"/>
            <w:left w:w="108" w:type="dxa"/>
            <w:bottom w:w="0" w:type="dxa"/>
            <w:right w:w="108" w:type="dxa"/>
          </w:tblCellMar>
        </w:tblPrEx>
        <w:trPr>
          <w:trHeight w:val="1143"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经理助理兼文员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386"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管理员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764"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会务服务员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389"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秩序维护队长</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764"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秩序维护员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764"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消防安全员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764"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保洁主管</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391"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保洁员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1143"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绿化主管兼技术员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386"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绿化员</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trHeight w:val="2605"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w:t>
            </w:r>
          </w:p>
        </w:tc>
        <w:tc>
          <w:tcPr>
            <w:tcW w:w="1372" w:type="dxa"/>
            <w:gridSpan w:val="4"/>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水电工</w:t>
            </w:r>
          </w:p>
        </w:tc>
        <w:tc>
          <w:tcPr>
            <w:tcW w:w="44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gridAfter w:val="1"/>
          <w:wAfter w:w="39" w:type="dxa"/>
          <w:trHeight w:val="386"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156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1-12项小计</w:t>
            </w:r>
          </w:p>
        </w:tc>
        <w:tc>
          <w:tcPr>
            <w:tcW w:w="443" w:type="dxa"/>
            <w:gridSpan w:val="3"/>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48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47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122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p>
        </w:tc>
      </w:tr>
      <w:tr>
        <w:tblPrEx>
          <w:tblCellMar>
            <w:top w:w="0" w:type="dxa"/>
            <w:left w:w="108" w:type="dxa"/>
            <w:bottom w:w="0" w:type="dxa"/>
            <w:right w:w="108" w:type="dxa"/>
          </w:tblCellMar>
        </w:tblPrEx>
        <w:trPr>
          <w:gridAfter w:val="1"/>
          <w:wAfter w:w="39" w:type="dxa"/>
          <w:trHeight w:val="1143"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49"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五项社会保险金</w:t>
            </w:r>
          </w:p>
        </w:tc>
        <w:tc>
          <w:tcPr>
            <w:tcW w:w="2622" w:type="dxa"/>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《关于公布2021年社会保险缴费基数和养老金计发基数的通知》</w:t>
            </w:r>
          </w:p>
        </w:tc>
      </w:tr>
      <w:tr>
        <w:tblPrEx>
          <w:tblCellMar>
            <w:top w:w="0" w:type="dxa"/>
            <w:left w:w="108" w:type="dxa"/>
            <w:bottom w:w="0" w:type="dxa"/>
            <w:right w:w="108" w:type="dxa"/>
          </w:tblCellMar>
        </w:tblPrEx>
        <w:trPr>
          <w:gridAfter w:val="1"/>
          <w:wAfter w:w="39" w:type="dxa"/>
          <w:trHeight w:val="1900"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49"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住房公积金</w:t>
            </w:r>
          </w:p>
        </w:tc>
        <w:tc>
          <w:tcPr>
            <w:tcW w:w="2622" w:type="dxa"/>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《关于进一步加强住房公积金缴存工作的通知》(琼府[2013]43号)</w:t>
            </w:r>
          </w:p>
        </w:tc>
      </w:tr>
      <w:tr>
        <w:tblPrEx>
          <w:tblCellMar>
            <w:top w:w="0" w:type="dxa"/>
            <w:left w:w="108" w:type="dxa"/>
            <w:bottom w:w="0" w:type="dxa"/>
            <w:right w:w="108" w:type="dxa"/>
          </w:tblCellMar>
        </w:tblPrEx>
        <w:trPr>
          <w:gridAfter w:val="1"/>
          <w:wAfter w:w="39" w:type="dxa"/>
          <w:trHeight w:val="3036"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49"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职工福利、工会经费</w:t>
            </w:r>
          </w:p>
        </w:tc>
        <w:tc>
          <w:tcPr>
            <w:tcW w:w="2622" w:type="dxa"/>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《工会法》《财政部关于提高国营企业职工福利基金提取比例调整职工福利基金儿职工教育经费计提基数的通知》</w:t>
            </w:r>
          </w:p>
        </w:tc>
      </w:tr>
      <w:tr>
        <w:tblPrEx>
          <w:tblCellMar>
            <w:top w:w="0" w:type="dxa"/>
            <w:left w:w="108" w:type="dxa"/>
            <w:bottom w:w="0" w:type="dxa"/>
            <w:right w:w="108" w:type="dxa"/>
          </w:tblCellMar>
        </w:tblPrEx>
        <w:trPr>
          <w:gridAfter w:val="1"/>
          <w:wAfter w:w="39" w:type="dxa"/>
          <w:trHeight w:val="2657"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16</w:t>
            </w:r>
          </w:p>
        </w:tc>
        <w:tc>
          <w:tcPr>
            <w:tcW w:w="13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职工教育培训经费</w:t>
            </w:r>
          </w:p>
        </w:tc>
        <w:tc>
          <w:tcPr>
            <w:tcW w:w="2622" w:type="dxa"/>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《财政部关于提高国营企业职工福利基金提取比例调整职工福利基金儿职工教育经费计提基数的通知》</w:t>
            </w:r>
          </w:p>
        </w:tc>
      </w:tr>
      <w:tr>
        <w:tblPrEx>
          <w:tblCellMar>
            <w:top w:w="0" w:type="dxa"/>
            <w:left w:w="108" w:type="dxa"/>
            <w:bottom w:w="0" w:type="dxa"/>
            <w:right w:w="108" w:type="dxa"/>
          </w:tblCellMar>
        </w:tblPrEx>
        <w:trPr>
          <w:gridAfter w:val="1"/>
          <w:wAfter w:w="39" w:type="dxa"/>
          <w:trHeight w:val="1143"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2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17</w:t>
            </w:r>
          </w:p>
        </w:tc>
        <w:tc>
          <w:tcPr>
            <w:tcW w:w="13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国家法定节日加班费</w:t>
            </w:r>
          </w:p>
        </w:tc>
        <w:tc>
          <w:tcPr>
            <w:tcW w:w="2622" w:type="dxa"/>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《劳动法》</w:t>
            </w:r>
          </w:p>
        </w:tc>
      </w:tr>
      <w:tr>
        <w:tblPrEx>
          <w:tblCellMar>
            <w:top w:w="0" w:type="dxa"/>
            <w:left w:w="108" w:type="dxa"/>
            <w:bottom w:w="0" w:type="dxa"/>
            <w:right w:w="108" w:type="dxa"/>
          </w:tblCellMar>
        </w:tblPrEx>
        <w:trPr>
          <w:gridAfter w:val="1"/>
          <w:wAfter w:w="39" w:type="dxa"/>
          <w:trHeight w:val="386"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4191" w:type="dxa"/>
            <w:gridSpan w:val="1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13—17项小计</w:t>
            </w: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251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p>
        </w:tc>
      </w:tr>
      <w:tr>
        <w:tblPrEx>
          <w:tblCellMar>
            <w:top w:w="0" w:type="dxa"/>
            <w:left w:w="108" w:type="dxa"/>
            <w:bottom w:w="0" w:type="dxa"/>
            <w:right w:w="108" w:type="dxa"/>
          </w:tblCellMar>
        </w:tblPrEx>
        <w:trPr>
          <w:gridAfter w:val="1"/>
          <w:wAfter w:w="39" w:type="dxa"/>
          <w:trHeight w:val="386" w:hRule="atLeast"/>
        </w:trPr>
        <w:tc>
          <w:tcPr>
            <w:tcW w:w="387"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8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c>
          <w:tcPr>
            <w:tcW w:w="4191" w:type="dxa"/>
            <w:gridSpan w:val="1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1－17项小计</w:t>
            </w:r>
          </w:p>
        </w:tc>
        <w:tc>
          <w:tcPr>
            <w:tcW w:w="1034"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251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gridAfter w:val="1"/>
          <w:wAfter w:w="39" w:type="dxa"/>
          <w:trHeight w:val="1143"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p>
        </w:tc>
        <w:tc>
          <w:tcPr>
            <w:tcW w:w="8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办公费</w:t>
            </w:r>
          </w:p>
        </w:tc>
        <w:tc>
          <w:tcPr>
            <w:tcW w:w="1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616"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《物业服务定价成本监审办法（试行）》《海南省物业服务收费管理办法》</w:t>
            </w:r>
          </w:p>
        </w:tc>
      </w:tr>
      <w:tr>
        <w:tblPrEx>
          <w:tblCellMar>
            <w:top w:w="0" w:type="dxa"/>
            <w:left w:w="108" w:type="dxa"/>
            <w:bottom w:w="0" w:type="dxa"/>
            <w:right w:w="108" w:type="dxa"/>
          </w:tblCellMar>
        </w:tblPrEx>
        <w:trPr>
          <w:gridAfter w:val="1"/>
          <w:wAfter w:w="39" w:type="dxa"/>
          <w:trHeight w:val="1900"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p>
        </w:tc>
        <w:tc>
          <w:tcPr>
            <w:tcW w:w="8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工作服费用</w:t>
            </w:r>
          </w:p>
        </w:tc>
        <w:tc>
          <w:tcPr>
            <w:tcW w:w="1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616"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gridAfter w:val="1"/>
          <w:wAfter w:w="39" w:type="dxa"/>
          <w:trHeight w:val="2279"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w:t>
            </w:r>
          </w:p>
        </w:tc>
        <w:tc>
          <w:tcPr>
            <w:tcW w:w="8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秩序维护费用</w:t>
            </w:r>
          </w:p>
        </w:tc>
        <w:tc>
          <w:tcPr>
            <w:tcW w:w="1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616"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gridAfter w:val="1"/>
          <w:wAfter w:w="39" w:type="dxa"/>
          <w:trHeight w:val="1143"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w:t>
            </w:r>
          </w:p>
        </w:tc>
        <w:tc>
          <w:tcPr>
            <w:tcW w:w="8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清洁绿化费用</w:t>
            </w:r>
          </w:p>
        </w:tc>
        <w:tc>
          <w:tcPr>
            <w:tcW w:w="1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616"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gridAfter w:val="1"/>
          <w:wAfter w:w="39" w:type="dxa"/>
          <w:trHeight w:val="1143"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w:t>
            </w:r>
          </w:p>
        </w:tc>
        <w:tc>
          <w:tcPr>
            <w:tcW w:w="8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管理费</w:t>
            </w:r>
          </w:p>
        </w:tc>
        <w:tc>
          <w:tcPr>
            <w:tcW w:w="1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616"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p>
        </w:tc>
      </w:tr>
      <w:tr>
        <w:tblPrEx>
          <w:tblCellMar>
            <w:top w:w="0" w:type="dxa"/>
            <w:left w:w="108" w:type="dxa"/>
            <w:bottom w:w="0" w:type="dxa"/>
            <w:right w:w="108" w:type="dxa"/>
          </w:tblCellMar>
        </w:tblPrEx>
        <w:trPr>
          <w:gridAfter w:val="1"/>
          <w:wAfter w:w="39" w:type="dxa"/>
          <w:trHeight w:val="1522"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w:t>
            </w:r>
          </w:p>
        </w:tc>
        <w:tc>
          <w:tcPr>
            <w:tcW w:w="8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法定税金</w:t>
            </w:r>
          </w:p>
        </w:tc>
        <w:tc>
          <w:tcPr>
            <w:tcW w:w="1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616"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p>
        </w:tc>
      </w:tr>
      <w:tr>
        <w:tblPrEx>
          <w:tblCellMar>
            <w:top w:w="0" w:type="dxa"/>
            <w:left w:w="108" w:type="dxa"/>
            <w:bottom w:w="0" w:type="dxa"/>
            <w:right w:w="108" w:type="dxa"/>
          </w:tblCellMar>
        </w:tblPrEx>
        <w:trPr>
          <w:gridAfter w:val="1"/>
          <w:wAfter w:w="39" w:type="dxa"/>
          <w:trHeight w:val="464"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w:t>
            </w:r>
          </w:p>
        </w:tc>
        <w:tc>
          <w:tcPr>
            <w:tcW w:w="5004" w:type="dxa"/>
            <w:gridSpan w:val="1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每月费用小计</w:t>
            </w: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p>
        </w:tc>
      </w:tr>
      <w:tr>
        <w:tblPrEx>
          <w:tblCellMar>
            <w:top w:w="0" w:type="dxa"/>
            <w:left w:w="108" w:type="dxa"/>
            <w:bottom w:w="0" w:type="dxa"/>
            <w:right w:w="108" w:type="dxa"/>
          </w:tblCellMar>
        </w:tblPrEx>
        <w:trPr>
          <w:gridAfter w:val="1"/>
          <w:wAfter w:w="39" w:type="dxa"/>
          <w:trHeight w:val="464" w:hRule="atLeast"/>
        </w:trPr>
        <w:tc>
          <w:tcPr>
            <w:tcW w:w="38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w:t>
            </w:r>
          </w:p>
        </w:tc>
        <w:tc>
          <w:tcPr>
            <w:tcW w:w="5004" w:type="dxa"/>
            <w:gridSpan w:val="1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1年费用合计</w:t>
            </w: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sz w:val="32"/>
                <w:szCs w:val="32"/>
              </w:rPr>
            </w:pPr>
          </w:p>
        </w:tc>
        <w:tc>
          <w:tcPr>
            <w:tcW w:w="25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p>
        </w:tc>
      </w:tr>
      <w:tr>
        <w:tblPrEx>
          <w:tblCellMar>
            <w:top w:w="0" w:type="dxa"/>
            <w:left w:w="108" w:type="dxa"/>
            <w:bottom w:w="0" w:type="dxa"/>
            <w:right w:w="108" w:type="dxa"/>
          </w:tblCellMar>
        </w:tblPrEx>
        <w:trPr>
          <w:gridAfter w:val="1"/>
          <w:wAfter w:w="39" w:type="dxa"/>
          <w:trHeight w:val="470" w:hRule="atLeast"/>
        </w:trPr>
        <w:tc>
          <w:tcPr>
            <w:tcW w:w="387"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p>
        </w:tc>
        <w:tc>
          <w:tcPr>
            <w:tcW w:w="5004" w:type="dxa"/>
            <w:gridSpan w:val="1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3年费用总计</w:t>
            </w:r>
          </w:p>
        </w:tc>
        <w:tc>
          <w:tcPr>
            <w:tcW w:w="10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kern w:val="0"/>
                <w:sz w:val="32"/>
                <w:szCs w:val="32"/>
              </w:rPr>
            </w:pPr>
          </w:p>
        </w:tc>
        <w:tc>
          <w:tcPr>
            <w:tcW w:w="251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p>
        </w:tc>
      </w:tr>
      <w:bookmarkEnd w:id="3"/>
      <w:bookmarkEnd w:id="4"/>
      <w:bookmarkEnd w:id="5"/>
      <w:bookmarkEnd w:id="6"/>
    </w:tbl>
    <w:p>
      <w:pPr>
        <w:keepNext w:val="0"/>
        <w:keepLines w:val="0"/>
        <w:pageBreakBefore w:val="0"/>
        <w:kinsoku/>
        <w:wordWrap/>
        <w:overflowPunct/>
        <w:topLinePunct w:val="0"/>
        <w:autoSpaceDE/>
        <w:autoSpaceDN/>
        <w:bidi w:val="0"/>
        <w:snapToGrid w:val="0"/>
        <w:spacing w:line="560" w:lineRule="exact"/>
        <w:rPr>
          <w:rFonts w:hint="eastAsia" w:ascii="仿宋_GB2312" w:hAnsi="仿宋_GB2312" w:eastAsia="仿宋_GB2312" w:cs="仿宋_GB2312"/>
          <w:sz w:val="32"/>
          <w:szCs w:val="32"/>
        </w:rPr>
      </w:pPr>
    </w:p>
    <w:p>
      <w:pPr>
        <w:pStyle w:val="2"/>
        <w:rPr>
          <w:rFonts w:hint="eastAsia" w:ascii="仿宋_GB2312" w:hAnsi="仿宋_GB2312" w:eastAsia="仿宋_GB2312" w:cs="仿宋_GB2312"/>
          <w:szCs w:val="28"/>
        </w:rPr>
      </w:pPr>
    </w:p>
    <w:p>
      <w:pPr>
        <w:pStyle w:val="2"/>
        <w:rPr>
          <w:rFonts w:hint="eastAsia" w:ascii="仿宋_GB2312" w:hAnsi="仿宋_GB2312" w:eastAsia="仿宋_GB2312" w:cs="仿宋_GB2312"/>
          <w:szCs w:val="28"/>
        </w:rPr>
      </w:pPr>
    </w:p>
    <w:p/>
    <w:sectPr>
      <w:headerReference r:id="rId3" w:type="default"/>
      <w:footerReference r:id="rId4" w:type="default"/>
      <w:footerReference r:id="rId5" w:type="even"/>
      <w:pgSz w:w="11906" w:h="16838"/>
      <w:pgMar w:top="2098" w:right="1531" w:bottom="1134" w:left="1531" w:header="851" w:footer="1588" w:gutter="0"/>
      <w:pgNumType w:start="1"/>
      <w:cols w:space="720" w:num="1"/>
      <w:titlePg/>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方正小标宋_GBK">
    <w:panose1 w:val="03000502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wordWrap w:val="0"/>
      <w:jc w:val="right"/>
      <w:rPr>
        <w:rStyle w:val="8"/>
        <w:rFonts w:hint="eastAsia" w:ascii="宋体" w:hAnsi="宋体" w:eastAsia="宋体"/>
        <w:sz w:val="28"/>
        <w:szCs w:val="28"/>
      </w:rPr>
    </w:pPr>
    <w:r>
      <w:rPr>
        <w:rStyle w:val="8"/>
        <w:rFonts w:hint="eastAsia" w:ascii="宋体" w:hAnsi="宋体" w:eastAsia="宋体"/>
        <w:sz w:val="28"/>
        <w:szCs w:val="28"/>
      </w:rPr>
      <w:t>—</w:t>
    </w: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3</w:t>
    </w:r>
    <w:r>
      <w:rPr>
        <w:rStyle w:val="8"/>
        <w:rFonts w:ascii="宋体" w:hAnsi="宋体" w:eastAsia="宋体"/>
        <w:sz w:val="28"/>
        <w:szCs w:val="28"/>
      </w:rPr>
      <w:fldChar w:fldCharType="end"/>
    </w:r>
    <w:r>
      <w:rPr>
        <w:rStyle w:val="8"/>
        <w:rFonts w:hint="eastAsia" w:ascii="宋体" w:hAnsi="宋体" w:eastAsia="宋体"/>
        <w:sz w:val="28"/>
        <w:szCs w:val="28"/>
      </w:rPr>
      <w:t xml:space="preserve">—  </w:t>
    </w:r>
  </w:p>
  <w:p>
    <w:pPr>
      <w:pStyle w:val="4"/>
      <w:framePr w:w="931" w:wrap="around" w:vAnchor="text" w:hAnchor="page" w:x="9647" w:y="74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BF7D77"/>
    <w:multiLevelType w:val="multilevel"/>
    <w:tmpl w:val="31BF7D77"/>
    <w:lvl w:ilvl="0" w:tentative="0">
      <w:start w:val="1"/>
      <w:numFmt w:val="decimal"/>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AFDD1C"/>
    <w:rsid w:val="53BFF2F9"/>
    <w:rsid w:val="5B44AAFC"/>
    <w:rsid w:val="6B5F50C5"/>
    <w:rsid w:val="6B79F3F4"/>
    <w:rsid w:val="6C9F029D"/>
    <w:rsid w:val="7AFDAFF0"/>
    <w:rsid w:val="D56AC900"/>
    <w:rsid w:val="F66DD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2"/>
    <w:basedOn w:val="1"/>
    <w:next w:val="1"/>
    <w:qFormat/>
    <w:uiPriority w:val="1"/>
    <w:pPr>
      <w:numPr>
        <w:ilvl w:val="1"/>
        <w:numId w:val="1"/>
      </w:numPr>
      <w:outlineLvl w:val="1"/>
    </w:pPr>
    <w:rPr>
      <w:rFonts w:ascii="宋体" w:hAnsi="宋体" w:eastAsia="宋体" w:cs="宋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21"/>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19</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2025-07-19T11:45:00Z</dcterms:created>
  <dc:creator>AOC</dc:creator>
  <cp:lastModifiedBy>user</cp:lastModifiedBy>
  <cp:lastPrinted>2025-07-21T16:18:38Z</cp:lastPrinted>
  <dcterms:modified xsi:type="dcterms:W3CDTF">2025-07-21T16:18:41Z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82E3A6E34B6142BFAFEB624A2E56EA8B_12</vt:lpwstr>
  </property>
</Properties>
</file>