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731" w:rsidRPr="00F535BE" w:rsidRDefault="00D41731" w:rsidP="00D41731">
      <w:pPr>
        <w:spacing w:line="552" w:lineRule="exact"/>
        <w:jc w:val="left"/>
        <w:outlineLvl w:val="0"/>
        <w:rPr>
          <w:rFonts w:ascii="黑体" w:eastAsia="黑体" w:hAnsi="黑体" w:cs="宋体"/>
          <w:bCs/>
          <w:sz w:val="28"/>
          <w:szCs w:val="28"/>
        </w:rPr>
      </w:pPr>
      <w:r w:rsidRPr="00F535BE">
        <w:rPr>
          <w:rFonts w:ascii="黑体" w:eastAsia="黑体" w:hAnsi="黑体" w:cs="宋体" w:hint="eastAsia"/>
          <w:bCs/>
          <w:sz w:val="28"/>
          <w:szCs w:val="28"/>
        </w:rPr>
        <w:t>附件</w:t>
      </w:r>
      <w:r w:rsidR="00F535BE" w:rsidRPr="00F535BE">
        <w:rPr>
          <w:rFonts w:ascii="黑体" w:eastAsia="黑体" w:hAnsi="黑体" w:cs="宋体" w:hint="eastAsia"/>
          <w:bCs/>
          <w:sz w:val="28"/>
          <w:szCs w:val="28"/>
        </w:rPr>
        <w:t>2</w:t>
      </w:r>
      <w:r w:rsidRPr="00F535BE">
        <w:rPr>
          <w:rFonts w:ascii="黑体" w:eastAsia="黑体" w:hAnsi="黑体" w:cs="宋体" w:hint="eastAsia"/>
          <w:bCs/>
          <w:sz w:val="28"/>
          <w:szCs w:val="28"/>
        </w:rPr>
        <w:t>：</w:t>
      </w:r>
    </w:p>
    <w:p w:rsidR="00F535BE" w:rsidRDefault="00F535BE" w:rsidP="00116E1F">
      <w:pPr>
        <w:spacing w:line="552" w:lineRule="exact"/>
        <w:ind w:firstLineChars="200" w:firstLine="883"/>
        <w:jc w:val="center"/>
        <w:outlineLvl w:val="0"/>
        <w:rPr>
          <w:rFonts w:ascii="宋体" w:eastAsia="宋体" w:hAnsi="宋体" w:cs="宋体"/>
          <w:b/>
          <w:bCs/>
          <w:sz w:val="44"/>
          <w:szCs w:val="44"/>
        </w:rPr>
      </w:pPr>
    </w:p>
    <w:p w:rsidR="001F3147" w:rsidRDefault="0087624B" w:rsidP="00116E1F">
      <w:pPr>
        <w:spacing w:line="552" w:lineRule="exact"/>
        <w:ind w:firstLineChars="200" w:firstLine="883"/>
        <w:jc w:val="center"/>
        <w:outlineLvl w:val="0"/>
        <w:rPr>
          <w:rFonts w:ascii="宋体" w:eastAsia="宋体" w:hAnsi="宋体" w:cs="宋体"/>
          <w:b/>
          <w:bCs/>
          <w:sz w:val="44"/>
          <w:szCs w:val="44"/>
        </w:rPr>
      </w:pPr>
      <w:r>
        <w:rPr>
          <w:rFonts w:ascii="宋体" w:eastAsia="宋体" w:hAnsi="宋体" w:cs="宋体" w:hint="eastAsia"/>
          <w:b/>
          <w:bCs/>
          <w:sz w:val="44"/>
          <w:szCs w:val="44"/>
        </w:rPr>
        <w:t>2022年公诉及检察监督</w:t>
      </w:r>
      <w:r w:rsidR="00116E1F" w:rsidRPr="00FD235A">
        <w:rPr>
          <w:rFonts w:ascii="宋体" w:eastAsia="宋体" w:hAnsi="宋体" w:cs="宋体" w:hint="eastAsia"/>
          <w:b/>
          <w:bCs/>
          <w:sz w:val="44"/>
          <w:szCs w:val="44"/>
        </w:rPr>
        <w:t>项目支出</w:t>
      </w:r>
    </w:p>
    <w:p w:rsidR="00116E1F" w:rsidRPr="00FD235A" w:rsidRDefault="00116E1F" w:rsidP="00116E1F">
      <w:pPr>
        <w:spacing w:line="552" w:lineRule="exact"/>
        <w:ind w:firstLineChars="200" w:firstLine="883"/>
        <w:jc w:val="center"/>
        <w:outlineLvl w:val="0"/>
        <w:rPr>
          <w:rFonts w:ascii="宋体" w:eastAsia="宋体" w:hAnsi="宋体" w:cs="宋体"/>
          <w:b/>
          <w:bCs/>
          <w:sz w:val="44"/>
          <w:szCs w:val="44"/>
        </w:rPr>
      </w:pPr>
      <w:r w:rsidRPr="00FD235A">
        <w:rPr>
          <w:rFonts w:ascii="宋体" w:eastAsia="宋体" w:hAnsi="宋体" w:cs="宋体" w:hint="eastAsia"/>
          <w:b/>
          <w:bCs/>
          <w:sz w:val="44"/>
          <w:szCs w:val="44"/>
        </w:rPr>
        <w:t>绩效评价报告</w:t>
      </w:r>
    </w:p>
    <w:p w:rsidR="001F3147" w:rsidRDefault="001F3147" w:rsidP="00116E1F">
      <w:pPr>
        <w:spacing w:line="552" w:lineRule="exact"/>
        <w:ind w:firstLineChars="200" w:firstLine="640"/>
        <w:rPr>
          <w:rFonts w:ascii="黑体" w:eastAsia="黑体" w:hAnsi="仿宋"/>
          <w:szCs w:val="32"/>
        </w:rPr>
      </w:pPr>
    </w:p>
    <w:p w:rsidR="00116E1F" w:rsidRPr="00FD235A" w:rsidRDefault="00116E1F" w:rsidP="00116E1F">
      <w:pPr>
        <w:spacing w:line="552" w:lineRule="exact"/>
        <w:ind w:firstLineChars="200" w:firstLine="640"/>
        <w:rPr>
          <w:rFonts w:ascii="黑体" w:eastAsia="黑体" w:hAnsi="仿宋"/>
          <w:szCs w:val="32"/>
        </w:rPr>
      </w:pPr>
      <w:r w:rsidRPr="00FD235A">
        <w:rPr>
          <w:rFonts w:ascii="黑体" w:eastAsia="黑体" w:hAnsi="仿宋" w:hint="eastAsia"/>
          <w:szCs w:val="32"/>
        </w:rPr>
        <w:t>一、基本情况</w:t>
      </w:r>
    </w:p>
    <w:p w:rsidR="00A6702D" w:rsidRPr="0085254D" w:rsidRDefault="00A6702D" w:rsidP="0085254D">
      <w:pPr>
        <w:spacing w:line="580" w:lineRule="exact"/>
        <w:ind w:firstLineChars="200" w:firstLine="560"/>
        <w:rPr>
          <w:rFonts w:hAnsi="仿宋"/>
          <w:sz w:val="28"/>
          <w:szCs w:val="28"/>
        </w:rPr>
      </w:pPr>
      <w:r w:rsidRPr="0085254D">
        <w:rPr>
          <w:rFonts w:hint="eastAsia"/>
          <w:sz w:val="28"/>
          <w:szCs w:val="28"/>
        </w:rPr>
        <w:t>公诉及检察监督是检察机关主要职能之一,公诉及检察监督项目的实施，是检察机关依法履行法定的监督职责，确保法律正确有效实施，惩治犯罪，维护公民合法权利，实现社会公平正义，实现依法治国的保障。设立公诉及检察监督项目，是人民检察院正确履职的基本表现。</w:t>
      </w:r>
    </w:p>
    <w:p w:rsidR="0087624B" w:rsidRDefault="0087624B" w:rsidP="0085254D">
      <w:pPr>
        <w:spacing w:line="360" w:lineRule="auto"/>
        <w:ind w:firstLineChars="200" w:firstLine="560"/>
        <w:rPr>
          <w:rFonts w:hAnsi="楷体" w:cs="楷体"/>
          <w:sz w:val="28"/>
          <w:szCs w:val="28"/>
        </w:rPr>
      </w:pPr>
      <w:r w:rsidRPr="0085254D">
        <w:rPr>
          <w:rFonts w:hint="eastAsia"/>
          <w:sz w:val="28"/>
          <w:szCs w:val="28"/>
        </w:rPr>
        <w:t>2022年公诉及检察监督项目资金主要用于公诉及检察业务办案支出、检察宣传支出等方面。</w:t>
      </w:r>
    </w:p>
    <w:p w:rsidR="00116E1F" w:rsidRDefault="0087624B" w:rsidP="00116E1F">
      <w:pPr>
        <w:spacing w:line="552" w:lineRule="exact"/>
        <w:ind w:firstLineChars="200" w:firstLine="640"/>
        <w:outlineLvl w:val="0"/>
        <w:rPr>
          <w:rFonts w:hAnsi="仿宋"/>
          <w:szCs w:val="32"/>
        </w:rPr>
      </w:pPr>
      <w:r>
        <w:rPr>
          <w:rFonts w:hAnsi="仿宋" w:hint="eastAsia"/>
          <w:szCs w:val="32"/>
        </w:rPr>
        <w:t>（一）资金投入和使用情况</w:t>
      </w:r>
    </w:p>
    <w:p w:rsidR="0087624B" w:rsidRPr="00DD719C" w:rsidRDefault="0087624B" w:rsidP="00DD719C">
      <w:pPr>
        <w:spacing w:line="552" w:lineRule="exact"/>
        <w:ind w:firstLineChars="200" w:firstLine="560"/>
        <w:outlineLvl w:val="0"/>
        <w:rPr>
          <w:rFonts w:hAnsi="楷体" w:cs="楷体"/>
          <w:sz w:val="28"/>
          <w:szCs w:val="28"/>
        </w:rPr>
      </w:pPr>
      <w:r w:rsidRPr="00DD719C">
        <w:rPr>
          <w:rFonts w:hAnsi="楷体" w:cs="楷体" w:hint="eastAsia"/>
          <w:sz w:val="28"/>
          <w:szCs w:val="28"/>
        </w:rPr>
        <w:t>因公诉及检察监督经费项目</w:t>
      </w:r>
      <w:r w:rsidR="00093B3F" w:rsidRPr="00DD719C">
        <w:rPr>
          <w:rFonts w:hAnsi="楷体" w:cs="楷体" w:hint="eastAsia"/>
          <w:sz w:val="28"/>
          <w:szCs w:val="28"/>
        </w:rPr>
        <w:t>资金安排及来源</w:t>
      </w:r>
      <w:r w:rsidR="0085254D">
        <w:rPr>
          <w:rFonts w:hAnsi="楷体" w:cs="楷体" w:hint="eastAsia"/>
          <w:sz w:val="28"/>
          <w:szCs w:val="28"/>
        </w:rPr>
        <w:t>内容</w:t>
      </w:r>
      <w:r w:rsidRPr="00DD719C">
        <w:rPr>
          <w:rFonts w:hAnsi="楷体" w:cs="楷体" w:hint="eastAsia"/>
          <w:sz w:val="28"/>
          <w:szCs w:val="28"/>
        </w:rPr>
        <w:t>涉密，按照国家保密局有关规定，不</w:t>
      </w:r>
      <w:r w:rsidR="00093B3F">
        <w:rPr>
          <w:rFonts w:hAnsi="楷体" w:cs="楷体" w:hint="eastAsia"/>
          <w:sz w:val="28"/>
          <w:szCs w:val="28"/>
        </w:rPr>
        <w:t>宜</w:t>
      </w:r>
      <w:r w:rsidRPr="00DD719C">
        <w:rPr>
          <w:rFonts w:hAnsi="楷体" w:cs="楷体" w:hint="eastAsia"/>
          <w:sz w:val="28"/>
          <w:szCs w:val="28"/>
        </w:rPr>
        <w:t>公开。</w:t>
      </w:r>
    </w:p>
    <w:p w:rsidR="00DD719C" w:rsidRDefault="00116E1F" w:rsidP="00DD719C">
      <w:pPr>
        <w:spacing w:line="552" w:lineRule="exact"/>
        <w:ind w:firstLineChars="200" w:firstLine="640"/>
        <w:rPr>
          <w:rFonts w:hAnsi="仿宋"/>
          <w:szCs w:val="32"/>
        </w:rPr>
      </w:pPr>
      <w:r w:rsidRPr="00FD235A">
        <w:rPr>
          <w:rFonts w:hAnsi="仿宋" w:hint="eastAsia"/>
          <w:szCs w:val="32"/>
        </w:rPr>
        <w:t>（二）项目绩效目标。</w:t>
      </w:r>
    </w:p>
    <w:p w:rsidR="00DD719C" w:rsidRPr="00DD719C" w:rsidRDefault="00DD719C" w:rsidP="00DD719C">
      <w:pPr>
        <w:spacing w:line="552" w:lineRule="exact"/>
        <w:ind w:firstLineChars="200" w:firstLine="560"/>
        <w:rPr>
          <w:rFonts w:hAnsi="仿宋"/>
          <w:szCs w:val="32"/>
        </w:rPr>
      </w:pPr>
      <w:r>
        <w:rPr>
          <w:rFonts w:hint="eastAsia"/>
          <w:sz w:val="28"/>
          <w:szCs w:val="28"/>
        </w:rPr>
        <w:t>1资金总体目标。</w:t>
      </w:r>
    </w:p>
    <w:p w:rsidR="00DD719C" w:rsidRDefault="00DD719C" w:rsidP="00DD719C">
      <w:pPr>
        <w:widowControl/>
        <w:shd w:val="clear" w:color="auto" w:fill="FFFFFF"/>
        <w:spacing w:line="360" w:lineRule="auto"/>
        <w:ind w:firstLineChars="200" w:firstLine="560"/>
        <w:jc w:val="left"/>
        <w:rPr>
          <w:rFonts w:hAnsi="楷体" w:cs="楷体"/>
          <w:sz w:val="28"/>
          <w:szCs w:val="28"/>
        </w:rPr>
      </w:pPr>
      <w:r>
        <w:rPr>
          <w:rFonts w:hAnsi="楷体" w:cs="楷体" w:hint="eastAsia"/>
          <w:sz w:val="28"/>
          <w:szCs w:val="28"/>
        </w:rPr>
        <w:t>公诉及检察监督项目的目标是坚持以“办案优先”，全力保障办案业务顺利开展，聚焦主业维护司法公平公正；</w:t>
      </w:r>
    </w:p>
    <w:p w:rsidR="00DD719C" w:rsidRDefault="00DD719C" w:rsidP="00DD719C">
      <w:pPr>
        <w:widowControl/>
        <w:shd w:val="clear" w:color="auto" w:fill="FFFFFF"/>
        <w:spacing w:line="360" w:lineRule="auto"/>
        <w:ind w:firstLineChars="200" w:firstLine="560"/>
        <w:jc w:val="left"/>
        <w:rPr>
          <w:rFonts w:hAnsi="楷体" w:cs="楷体"/>
          <w:sz w:val="28"/>
          <w:szCs w:val="28"/>
        </w:rPr>
      </w:pPr>
      <w:r>
        <w:rPr>
          <w:rFonts w:hAnsi="楷体" w:cs="楷体" w:hint="eastAsia"/>
          <w:sz w:val="28"/>
          <w:szCs w:val="28"/>
        </w:rPr>
        <w:t>项目2022年的阶段性目标是：案件受理数≥50件；指导和监督案件数≥100件；侦查监督审讯率≥85%，办理公诉及监督案件提高率≥5%，符合立案标准≥95%。</w:t>
      </w:r>
    </w:p>
    <w:p w:rsidR="00DD719C" w:rsidRPr="00DD719C" w:rsidRDefault="00DD719C" w:rsidP="00DD719C">
      <w:pPr>
        <w:widowControl/>
        <w:shd w:val="clear" w:color="auto" w:fill="FFFFFF"/>
        <w:spacing w:line="360" w:lineRule="auto"/>
        <w:ind w:firstLineChars="200" w:firstLine="560"/>
        <w:jc w:val="left"/>
        <w:rPr>
          <w:rFonts w:hAnsi="楷体" w:cs="楷体"/>
          <w:sz w:val="28"/>
          <w:szCs w:val="28"/>
        </w:rPr>
      </w:pPr>
      <w:r>
        <w:rPr>
          <w:rFonts w:hint="eastAsia"/>
          <w:sz w:val="28"/>
          <w:szCs w:val="28"/>
        </w:rPr>
        <w:t>2资金年度目标。</w:t>
      </w:r>
    </w:p>
    <w:p w:rsidR="00DD719C" w:rsidRPr="00DD719C" w:rsidRDefault="00DD719C" w:rsidP="00DD719C">
      <w:pPr>
        <w:spacing w:line="552" w:lineRule="exact"/>
        <w:ind w:firstLineChars="200" w:firstLine="560"/>
        <w:outlineLvl w:val="0"/>
        <w:rPr>
          <w:rFonts w:hAnsi="楷体" w:cs="楷体"/>
          <w:sz w:val="28"/>
          <w:szCs w:val="28"/>
        </w:rPr>
      </w:pPr>
      <w:r w:rsidRPr="00DD719C">
        <w:rPr>
          <w:rFonts w:hAnsi="楷体" w:cs="楷体" w:hint="eastAsia"/>
          <w:sz w:val="28"/>
          <w:szCs w:val="28"/>
        </w:rPr>
        <w:lastRenderedPageBreak/>
        <w:t>按照国家保密局有关规定，</w:t>
      </w:r>
      <w:r>
        <w:rPr>
          <w:rFonts w:hAnsi="楷体" w:cs="楷体" w:hint="eastAsia"/>
          <w:sz w:val="28"/>
          <w:szCs w:val="28"/>
        </w:rPr>
        <w:t>2022年</w:t>
      </w:r>
      <w:r w:rsidRPr="00DD719C">
        <w:rPr>
          <w:rFonts w:hAnsi="楷体" w:cs="楷体" w:hint="eastAsia"/>
          <w:sz w:val="28"/>
          <w:szCs w:val="28"/>
        </w:rPr>
        <w:t>资金安排</w:t>
      </w:r>
      <w:r w:rsidR="00474138">
        <w:rPr>
          <w:rFonts w:hAnsi="楷体" w:cs="楷体" w:hint="eastAsia"/>
          <w:sz w:val="28"/>
          <w:szCs w:val="28"/>
        </w:rPr>
        <w:t>涉密，</w:t>
      </w:r>
      <w:r w:rsidRPr="00DD719C">
        <w:rPr>
          <w:rFonts w:hAnsi="楷体" w:cs="楷体" w:hint="eastAsia"/>
          <w:sz w:val="28"/>
          <w:szCs w:val="28"/>
        </w:rPr>
        <w:t>暂不公开。</w:t>
      </w:r>
    </w:p>
    <w:p w:rsidR="00116E1F" w:rsidRPr="00955A3E" w:rsidRDefault="00116E1F" w:rsidP="00116E1F">
      <w:pPr>
        <w:spacing w:line="552" w:lineRule="exact"/>
        <w:ind w:firstLineChars="200" w:firstLine="640"/>
        <w:rPr>
          <w:rFonts w:ascii="黑体" w:eastAsia="黑体" w:hAnsi="仿宋"/>
          <w:szCs w:val="32"/>
        </w:rPr>
      </w:pPr>
      <w:r w:rsidRPr="00955A3E">
        <w:rPr>
          <w:rFonts w:ascii="黑体" w:eastAsia="黑体" w:hAnsi="仿宋" w:hint="eastAsia"/>
          <w:szCs w:val="32"/>
        </w:rPr>
        <w:t>二、绩效评价工作开展情况</w:t>
      </w:r>
    </w:p>
    <w:p w:rsidR="00116E1F" w:rsidRDefault="00116E1F" w:rsidP="00116E1F">
      <w:pPr>
        <w:spacing w:line="552" w:lineRule="exact"/>
        <w:ind w:firstLineChars="200" w:firstLine="640"/>
        <w:rPr>
          <w:rFonts w:hAnsi="仿宋"/>
          <w:szCs w:val="32"/>
        </w:rPr>
      </w:pPr>
      <w:r w:rsidRPr="00FD235A">
        <w:rPr>
          <w:rFonts w:hAnsi="仿宋" w:hint="eastAsia"/>
          <w:szCs w:val="32"/>
        </w:rPr>
        <w:t>（一）绩效评价目的、对象和范围。</w:t>
      </w:r>
    </w:p>
    <w:p w:rsidR="00DD719C" w:rsidRPr="00DD719C" w:rsidRDefault="00DD719C" w:rsidP="00DD719C">
      <w:pPr>
        <w:spacing w:line="360" w:lineRule="auto"/>
        <w:ind w:firstLineChars="200" w:firstLine="560"/>
        <w:rPr>
          <w:rFonts w:hAnsi="楷体" w:cs="楷体"/>
          <w:sz w:val="28"/>
          <w:szCs w:val="28"/>
        </w:rPr>
      </w:pPr>
      <w:r>
        <w:rPr>
          <w:rFonts w:hAnsi="楷体" w:cs="楷体"/>
          <w:sz w:val="28"/>
          <w:szCs w:val="28"/>
        </w:rPr>
        <w:t>为深入贯彻落实《中共中央 国务院关于全面实施预算绩效管理的意见》，加快建成全方位、全过程、全覆盖的预算绩效管理体系，提高财政资源配置效率和使用效益，增强政府公信力和执行力，根据</w:t>
      </w:r>
      <w:r>
        <w:rPr>
          <w:rFonts w:hAnsi="楷体" w:cs="楷体" w:hint="eastAsia"/>
          <w:sz w:val="28"/>
          <w:szCs w:val="28"/>
        </w:rPr>
        <w:t>《省委、省政府关于实施全面实施预算绩效管理的实施意见》（琼发〔2019〕18号）、《海南省财政厅关于印发&lt;海南省项目支出绩效评价管理实施办法&gt;的通知》（琼财绩〔2020〕594号）和《海南省财政厅关于开展2022年省直单位预算绩效管理工作的通知》（琼财绩〔2022〕105号）的文件要求，海南省人民检察院</w:t>
      </w:r>
      <w:r w:rsidR="008823BC">
        <w:rPr>
          <w:rFonts w:hAnsi="楷体" w:cs="楷体" w:hint="eastAsia"/>
          <w:sz w:val="28"/>
          <w:szCs w:val="28"/>
        </w:rPr>
        <w:t>已对</w:t>
      </w:r>
      <w:r>
        <w:rPr>
          <w:rFonts w:hAnsi="楷体" w:cs="楷体" w:hint="eastAsia"/>
          <w:sz w:val="28"/>
          <w:szCs w:val="28"/>
        </w:rPr>
        <w:t>2022年公诉及检察监督项目的完成情况和财务执行情况实施绩效评价。</w:t>
      </w:r>
      <w:r>
        <w:rPr>
          <w:rFonts w:hAnsi="楷体" w:cs="楷体"/>
          <w:sz w:val="28"/>
          <w:szCs w:val="28"/>
        </w:rPr>
        <w:t>通过开展绩效评价工作，</w:t>
      </w:r>
      <w:r>
        <w:rPr>
          <w:rFonts w:hAnsi="楷体" w:cs="楷体" w:hint="eastAsia"/>
          <w:sz w:val="28"/>
          <w:szCs w:val="28"/>
        </w:rPr>
        <w:t>运用规范的绩效指标体系和科学的评价方法，全面、客观反映财政支出项目完成情况和实施效果。同时，及时总结经验，分析存在的问题，采取有效措施改进和加强项目管理，为政府相关决策提供参考依据。</w:t>
      </w:r>
    </w:p>
    <w:p w:rsidR="00116E1F" w:rsidRDefault="00116E1F" w:rsidP="00DD719C">
      <w:pPr>
        <w:spacing w:line="552" w:lineRule="exact"/>
        <w:ind w:firstLineChars="200" w:firstLine="640"/>
        <w:rPr>
          <w:rFonts w:hAnsi="仿宋"/>
          <w:szCs w:val="32"/>
        </w:rPr>
      </w:pPr>
      <w:r w:rsidRPr="00FD235A">
        <w:rPr>
          <w:rFonts w:hAnsi="仿宋" w:hint="eastAsia"/>
          <w:szCs w:val="32"/>
        </w:rPr>
        <w:t>（二）绩效评价原则、</w:t>
      </w:r>
      <w:r w:rsidR="00DD719C">
        <w:rPr>
          <w:rFonts w:hAnsi="仿宋" w:hint="eastAsia"/>
          <w:szCs w:val="32"/>
        </w:rPr>
        <w:t>评价方法、评价标准</w:t>
      </w:r>
      <w:r w:rsidRPr="00FD235A">
        <w:rPr>
          <w:rFonts w:hAnsi="仿宋" w:hint="eastAsia"/>
          <w:szCs w:val="32"/>
        </w:rPr>
        <w:t>。</w:t>
      </w:r>
    </w:p>
    <w:p w:rsidR="00DD719C" w:rsidRDefault="00DD719C" w:rsidP="00DD719C">
      <w:pPr>
        <w:spacing w:line="360" w:lineRule="auto"/>
        <w:ind w:firstLineChars="200" w:firstLine="560"/>
        <w:rPr>
          <w:rFonts w:hAnsi="楷体" w:cs="楷体"/>
          <w:sz w:val="28"/>
          <w:szCs w:val="28"/>
        </w:rPr>
      </w:pPr>
      <w:r>
        <w:rPr>
          <w:rFonts w:hAnsi="楷体" w:cs="楷体"/>
          <w:sz w:val="28"/>
          <w:szCs w:val="28"/>
        </w:rPr>
        <w:t>根据</w:t>
      </w:r>
      <w:r>
        <w:rPr>
          <w:rFonts w:hAnsi="楷体" w:cs="楷体" w:hint="eastAsia"/>
          <w:sz w:val="28"/>
          <w:szCs w:val="28"/>
        </w:rPr>
        <w:t>公诉及检察监督项目</w:t>
      </w:r>
      <w:r>
        <w:rPr>
          <w:rFonts w:hAnsi="楷体" w:cs="楷体"/>
          <w:sz w:val="28"/>
          <w:szCs w:val="28"/>
        </w:rPr>
        <w:t>的具体情况设定评价指标体系</w:t>
      </w:r>
      <w:r>
        <w:rPr>
          <w:rFonts w:hAnsi="楷体" w:cs="楷体" w:hint="eastAsia"/>
          <w:sz w:val="28"/>
          <w:szCs w:val="28"/>
        </w:rPr>
        <w:t>（设定决策指标占比18分、过程指标占比30分、产出指标34分、效果指标18分）。评价采取百分制的计分方式，采用以定量考核为基础，以定性分析为辅，实行定量打分与定性分析相结合，以此汇总形成绩效评价综合得分。（具体指标情况详见公诉及检察监督项目指标体系表）。绩效评价结果分为优、良、中、差四个等级，其中：分值</w:t>
      </w:r>
      <w:r>
        <w:rPr>
          <w:rFonts w:hAnsi="楷体" w:cs="楷体"/>
          <w:sz w:val="28"/>
          <w:szCs w:val="28"/>
        </w:rPr>
        <w:t>90分</w:t>
      </w:r>
      <w:r>
        <w:rPr>
          <w:rFonts w:hAnsi="楷体" w:cs="楷体" w:hint="eastAsia"/>
          <w:sz w:val="28"/>
          <w:szCs w:val="28"/>
        </w:rPr>
        <w:t>（含</w:t>
      </w:r>
      <w:r>
        <w:rPr>
          <w:rFonts w:hAnsi="楷体" w:cs="楷体" w:hint="eastAsia"/>
          <w:sz w:val="28"/>
          <w:szCs w:val="28"/>
        </w:rPr>
        <w:lastRenderedPageBreak/>
        <w:t>9</w:t>
      </w:r>
      <w:r>
        <w:rPr>
          <w:rFonts w:hAnsi="楷体" w:cs="楷体"/>
          <w:sz w:val="28"/>
          <w:szCs w:val="28"/>
        </w:rPr>
        <w:t>0分）及以上为</w:t>
      </w:r>
      <w:r>
        <w:rPr>
          <w:rFonts w:hAnsi="楷体" w:cs="楷体" w:hint="eastAsia"/>
          <w:sz w:val="28"/>
          <w:szCs w:val="28"/>
        </w:rPr>
        <w:t>“</w:t>
      </w:r>
      <w:r>
        <w:rPr>
          <w:rFonts w:hAnsi="楷体" w:cs="楷体"/>
          <w:sz w:val="28"/>
          <w:szCs w:val="28"/>
        </w:rPr>
        <w:t>优</w:t>
      </w:r>
      <w:r>
        <w:rPr>
          <w:rFonts w:hAnsi="楷体" w:cs="楷体" w:hint="eastAsia"/>
          <w:sz w:val="28"/>
          <w:szCs w:val="28"/>
        </w:rPr>
        <w:t>”</w:t>
      </w:r>
      <w:r>
        <w:rPr>
          <w:rFonts w:hAnsi="楷体" w:cs="楷体"/>
          <w:sz w:val="28"/>
          <w:szCs w:val="28"/>
        </w:rPr>
        <w:t>，80（含80分）～90分</w:t>
      </w:r>
      <w:r>
        <w:rPr>
          <w:rFonts w:hAnsi="楷体" w:cs="楷体" w:hint="eastAsia"/>
          <w:sz w:val="28"/>
          <w:szCs w:val="28"/>
        </w:rPr>
        <w:t>（不含</w:t>
      </w:r>
      <w:r>
        <w:rPr>
          <w:rFonts w:hAnsi="楷体" w:cs="楷体"/>
          <w:sz w:val="28"/>
          <w:szCs w:val="28"/>
        </w:rPr>
        <w:t>90分）为</w:t>
      </w:r>
      <w:r>
        <w:rPr>
          <w:rFonts w:hAnsi="楷体" w:cs="楷体" w:hint="eastAsia"/>
          <w:sz w:val="28"/>
          <w:szCs w:val="28"/>
        </w:rPr>
        <w:t>“</w:t>
      </w:r>
      <w:r>
        <w:rPr>
          <w:rFonts w:hAnsi="楷体" w:cs="楷体"/>
          <w:sz w:val="28"/>
          <w:szCs w:val="28"/>
        </w:rPr>
        <w:t>良</w:t>
      </w:r>
      <w:r>
        <w:rPr>
          <w:rFonts w:hAnsi="楷体" w:cs="楷体" w:hint="eastAsia"/>
          <w:sz w:val="28"/>
          <w:szCs w:val="28"/>
        </w:rPr>
        <w:t>”</w:t>
      </w:r>
      <w:r>
        <w:rPr>
          <w:rFonts w:hAnsi="楷体" w:cs="楷体"/>
          <w:sz w:val="28"/>
          <w:szCs w:val="28"/>
        </w:rPr>
        <w:t>，60（含60分）～80分</w:t>
      </w:r>
      <w:r>
        <w:rPr>
          <w:rFonts w:hAnsi="楷体" w:cs="楷体" w:hint="eastAsia"/>
          <w:sz w:val="28"/>
          <w:szCs w:val="28"/>
        </w:rPr>
        <w:t>（不含8</w:t>
      </w:r>
      <w:r>
        <w:rPr>
          <w:rFonts w:hAnsi="楷体" w:cs="楷体"/>
          <w:sz w:val="28"/>
          <w:szCs w:val="28"/>
        </w:rPr>
        <w:t>0分）为</w:t>
      </w:r>
      <w:r>
        <w:rPr>
          <w:rFonts w:hAnsi="楷体" w:cs="楷体" w:hint="eastAsia"/>
          <w:sz w:val="28"/>
          <w:szCs w:val="28"/>
        </w:rPr>
        <w:t>“</w:t>
      </w:r>
      <w:r>
        <w:rPr>
          <w:rFonts w:hAnsi="楷体" w:cs="楷体"/>
          <w:sz w:val="28"/>
          <w:szCs w:val="28"/>
        </w:rPr>
        <w:t>中</w:t>
      </w:r>
      <w:r>
        <w:rPr>
          <w:rFonts w:hAnsi="楷体" w:cs="楷体" w:hint="eastAsia"/>
          <w:sz w:val="28"/>
          <w:szCs w:val="28"/>
        </w:rPr>
        <w:t>”</w:t>
      </w:r>
      <w:r>
        <w:rPr>
          <w:rFonts w:hAnsi="楷体" w:cs="楷体"/>
          <w:sz w:val="28"/>
          <w:szCs w:val="28"/>
        </w:rPr>
        <w:t>，60分</w:t>
      </w:r>
      <w:r>
        <w:rPr>
          <w:rFonts w:hAnsi="楷体" w:cs="楷体" w:hint="eastAsia"/>
          <w:sz w:val="28"/>
          <w:szCs w:val="28"/>
        </w:rPr>
        <w:t>（不含6</w:t>
      </w:r>
      <w:r>
        <w:rPr>
          <w:rFonts w:hAnsi="楷体" w:cs="楷体"/>
          <w:sz w:val="28"/>
          <w:szCs w:val="28"/>
        </w:rPr>
        <w:t>0分）以下为</w:t>
      </w:r>
      <w:r>
        <w:rPr>
          <w:rFonts w:hAnsi="楷体" w:cs="楷体" w:hint="eastAsia"/>
          <w:sz w:val="28"/>
          <w:szCs w:val="28"/>
        </w:rPr>
        <w:t>“</w:t>
      </w:r>
      <w:r>
        <w:rPr>
          <w:rFonts w:hAnsi="楷体" w:cs="楷体"/>
          <w:sz w:val="28"/>
          <w:szCs w:val="28"/>
        </w:rPr>
        <w:t>差</w:t>
      </w:r>
      <w:r>
        <w:rPr>
          <w:rFonts w:hAnsi="楷体" w:cs="楷体" w:hint="eastAsia"/>
          <w:sz w:val="28"/>
          <w:szCs w:val="28"/>
        </w:rPr>
        <w:t>”</w:t>
      </w:r>
      <w:r>
        <w:rPr>
          <w:rFonts w:hAnsi="楷体" w:cs="楷体"/>
          <w:sz w:val="28"/>
          <w:szCs w:val="28"/>
        </w:rPr>
        <w:t>。</w:t>
      </w:r>
    </w:p>
    <w:p w:rsidR="00DD719C" w:rsidRPr="00DD719C" w:rsidRDefault="00DD719C" w:rsidP="00DD719C">
      <w:pPr>
        <w:spacing w:line="360" w:lineRule="auto"/>
        <w:ind w:firstLineChars="200" w:firstLine="560"/>
        <w:rPr>
          <w:rFonts w:hAnsi="楷体" w:cs="楷体"/>
          <w:sz w:val="28"/>
          <w:szCs w:val="28"/>
        </w:rPr>
      </w:pPr>
      <w:r>
        <w:rPr>
          <w:rFonts w:hAnsi="楷体" w:cs="楷体" w:hint="eastAsia"/>
          <w:sz w:val="28"/>
          <w:szCs w:val="28"/>
        </w:rPr>
        <w:t>在设定的指标体系下我们</w:t>
      </w:r>
      <w:r>
        <w:rPr>
          <w:rFonts w:hAnsi="楷体" w:cs="楷体"/>
          <w:sz w:val="28"/>
          <w:szCs w:val="28"/>
        </w:rPr>
        <w:t>遵循独立、客观、公正的评价原则，在</w:t>
      </w:r>
      <w:r w:rsidR="008823BC">
        <w:rPr>
          <w:rFonts w:hAnsi="楷体" w:cs="楷体" w:hint="eastAsia"/>
          <w:sz w:val="28"/>
          <w:szCs w:val="28"/>
        </w:rPr>
        <w:t>机关有关部门</w:t>
      </w:r>
      <w:r>
        <w:rPr>
          <w:rFonts w:hAnsi="楷体" w:cs="楷体" w:hint="eastAsia"/>
          <w:sz w:val="28"/>
          <w:szCs w:val="28"/>
        </w:rPr>
        <w:t>的</w:t>
      </w:r>
      <w:r>
        <w:rPr>
          <w:rFonts w:hAnsi="楷体" w:cs="楷体"/>
          <w:sz w:val="28"/>
          <w:szCs w:val="28"/>
        </w:rPr>
        <w:t>支持和配合下，根据</w:t>
      </w:r>
      <w:r>
        <w:rPr>
          <w:rFonts w:hAnsi="楷体" w:cs="楷体" w:hint="eastAsia"/>
          <w:sz w:val="28"/>
          <w:szCs w:val="28"/>
        </w:rPr>
        <w:t>2022年公诉及检察监督项目</w:t>
      </w:r>
      <w:r>
        <w:rPr>
          <w:rFonts w:hAnsi="楷体" w:cs="楷体"/>
          <w:sz w:val="28"/>
          <w:szCs w:val="28"/>
        </w:rPr>
        <w:t>实施的具体情况及相关要求，采用成本效益法</w:t>
      </w:r>
      <w:r>
        <w:rPr>
          <w:rFonts w:hAnsi="楷体" w:cs="楷体" w:hint="eastAsia"/>
          <w:sz w:val="28"/>
          <w:szCs w:val="28"/>
        </w:rPr>
        <w:t>、</w:t>
      </w:r>
      <w:r>
        <w:rPr>
          <w:rFonts w:hAnsi="楷体" w:cs="楷体"/>
          <w:sz w:val="28"/>
          <w:szCs w:val="28"/>
        </w:rPr>
        <w:t>比较法</w:t>
      </w:r>
      <w:r>
        <w:rPr>
          <w:rFonts w:hAnsi="楷体" w:cs="楷体" w:hint="eastAsia"/>
          <w:sz w:val="28"/>
          <w:szCs w:val="28"/>
        </w:rPr>
        <w:t>、</w:t>
      </w:r>
      <w:r>
        <w:rPr>
          <w:rFonts w:hAnsi="楷体" w:cs="楷体"/>
          <w:sz w:val="28"/>
          <w:szCs w:val="28"/>
        </w:rPr>
        <w:t>因素分析等方法积极组织实施评价工作。</w:t>
      </w:r>
    </w:p>
    <w:p w:rsidR="00116E1F" w:rsidRDefault="00116E1F" w:rsidP="00116E1F">
      <w:pPr>
        <w:spacing w:line="552" w:lineRule="exact"/>
        <w:ind w:firstLineChars="200" w:firstLine="640"/>
        <w:rPr>
          <w:rFonts w:hAnsi="仿宋"/>
          <w:szCs w:val="32"/>
        </w:rPr>
      </w:pPr>
      <w:r w:rsidRPr="00FD235A">
        <w:rPr>
          <w:rFonts w:hAnsi="仿宋" w:hint="eastAsia"/>
          <w:szCs w:val="32"/>
        </w:rPr>
        <w:t>（三）绩效评价工作过程。</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本次绩效评价共分五个阶段组织实施,分别是绩效评价准备、绩效评价现场实施、形成绩效评价报告初稿、绩效评价意见反馈和绩效评价报告形成。</w:t>
      </w:r>
    </w:p>
    <w:p w:rsidR="00DD719C" w:rsidRDefault="00DD719C" w:rsidP="007F4D1A">
      <w:pPr>
        <w:spacing w:beforeLines="30" w:afterLines="30" w:line="600" w:lineRule="exact"/>
        <w:ind w:firstLineChars="200" w:firstLine="560"/>
        <w:rPr>
          <w:rFonts w:hAnsi="楷体" w:cs="楷体"/>
          <w:sz w:val="28"/>
          <w:szCs w:val="28"/>
        </w:rPr>
      </w:pPr>
      <w:r>
        <w:rPr>
          <w:rFonts w:hAnsi="楷体" w:cs="楷体" w:hint="eastAsia"/>
          <w:sz w:val="28"/>
          <w:szCs w:val="28"/>
        </w:rPr>
        <w:t>（1）成立评价小组，根据海南省财政厅的项目支出绩效评价管理实施办法制定工作计划,联系被评价</w:t>
      </w:r>
      <w:r w:rsidR="008823BC">
        <w:rPr>
          <w:rFonts w:hAnsi="楷体" w:cs="楷体" w:hint="eastAsia"/>
          <w:sz w:val="28"/>
          <w:szCs w:val="28"/>
        </w:rPr>
        <w:t>部门</w:t>
      </w:r>
      <w:r>
        <w:rPr>
          <w:rFonts w:hAnsi="楷体" w:cs="楷体" w:hint="eastAsia"/>
          <w:sz w:val="28"/>
          <w:szCs w:val="28"/>
        </w:rPr>
        <w:t>相关负责人,与评价</w:t>
      </w:r>
      <w:r w:rsidR="008823BC">
        <w:rPr>
          <w:rFonts w:hAnsi="楷体" w:cs="楷体" w:hint="eastAsia"/>
          <w:sz w:val="28"/>
          <w:szCs w:val="28"/>
        </w:rPr>
        <w:t>单位</w:t>
      </w:r>
      <w:r>
        <w:rPr>
          <w:rFonts w:hAnsi="楷体" w:cs="楷体" w:hint="eastAsia"/>
          <w:sz w:val="28"/>
          <w:szCs w:val="28"/>
        </w:rPr>
        <w:t>组织召开座谈会，送达绩效评价通知文件和所需资料清单,要求被评价单位提前作好必要的准备工作。</w:t>
      </w:r>
    </w:p>
    <w:p w:rsidR="00DD719C" w:rsidRDefault="00DD719C" w:rsidP="007F4D1A">
      <w:pPr>
        <w:spacing w:beforeLines="30" w:afterLines="30" w:line="600" w:lineRule="exact"/>
        <w:ind w:firstLineChars="200" w:firstLine="560"/>
        <w:rPr>
          <w:rFonts w:hAnsi="楷体" w:cs="楷体"/>
          <w:sz w:val="28"/>
          <w:szCs w:val="28"/>
        </w:rPr>
      </w:pPr>
      <w:r>
        <w:rPr>
          <w:rFonts w:hAnsi="楷体" w:cs="楷体" w:hint="eastAsia"/>
          <w:sz w:val="28"/>
          <w:szCs w:val="28"/>
        </w:rPr>
        <w:t>（2）评价小组现场听取被评价单位有关人员的情况介绍，查阅、核实有关数据资料，并进行实地检查，收集相关基础资料，实施社会满意度调查，了解与本次绩效评价相关的信息。</w:t>
      </w:r>
    </w:p>
    <w:p w:rsidR="00DD719C" w:rsidRDefault="00DD719C" w:rsidP="007F4D1A">
      <w:pPr>
        <w:spacing w:beforeLines="30" w:afterLines="30" w:line="600" w:lineRule="exact"/>
        <w:ind w:firstLineChars="200" w:firstLine="560"/>
        <w:rPr>
          <w:rFonts w:hAnsi="楷体" w:cs="楷体"/>
          <w:sz w:val="28"/>
          <w:szCs w:val="28"/>
        </w:rPr>
      </w:pPr>
      <w:r>
        <w:rPr>
          <w:rFonts w:hAnsi="楷体" w:cs="楷体" w:hint="eastAsia"/>
          <w:sz w:val="28"/>
          <w:szCs w:val="28"/>
        </w:rPr>
        <w:t>（3）评价小组对获取的数据资料进行汇总分析，依据评价指标实施绩效评价，形成公诉及检察监督项目绩效评价报告初稿。</w:t>
      </w:r>
    </w:p>
    <w:p w:rsidR="00DD719C" w:rsidRDefault="00DD719C" w:rsidP="007F4D1A">
      <w:pPr>
        <w:spacing w:beforeLines="30" w:afterLines="30" w:line="600" w:lineRule="exact"/>
        <w:ind w:firstLineChars="200" w:firstLine="560"/>
        <w:rPr>
          <w:rFonts w:hAnsi="楷体" w:cs="楷体"/>
          <w:sz w:val="28"/>
          <w:szCs w:val="28"/>
        </w:rPr>
      </w:pPr>
      <w:r>
        <w:rPr>
          <w:rFonts w:hAnsi="楷体" w:cs="楷体" w:hint="eastAsia"/>
          <w:sz w:val="28"/>
          <w:szCs w:val="28"/>
        </w:rPr>
        <w:t>（4）向被评价单位的相关负责人说明绩效评价初步结果,就绩效评价初稿征求被评价单位意见。</w:t>
      </w:r>
    </w:p>
    <w:p w:rsidR="00DD719C" w:rsidRDefault="00DD719C" w:rsidP="007F4D1A">
      <w:pPr>
        <w:spacing w:beforeLines="30" w:afterLines="30" w:line="600" w:lineRule="exact"/>
        <w:ind w:firstLineChars="200" w:firstLine="560"/>
        <w:rPr>
          <w:rFonts w:hAnsi="楷体" w:cs="楷体"/>
          <w:sz w:val="28"/>
          <w:szCs w:val="28"/>
        </w:rPr>
      </w:pPr>
      <w:r>
        <w:rPr>
          <w:rFonts w:hAnsi="楷体" w:cs="楷体" w:hint="eastAsia"/>
          <w:sz w:val="28"/>
          <w:szCs w:val="28"/>
        </w:rPr>
        <w:lastRenderedPageBreak/>
        <w:t>（5）根据被评价单位的反馈意见，进一步补充收集资料，修正相关评价指标值，形成正式的绩效评价报告。</w:t>
      </w:r>
    </w:p>
    <w:p w:rsidR="00DD719C" w:rsidRDefault="00DD719C" w:rsidP="00DD719C">
      <w:pPr>
        <w:pStyle w:val="20"/>
        <w:spacing w:line="600" w:lineRule="exact"/>
        <w:ind w:firstLineChars="200" w:firstLine="560"/>
        <w:rPr>
          <w:rFonts w:ascii="仿宋_GB2312" w:eastAsia="仿宋_GB2312"/>
          <w:b w:val="0"/>
          <w:sz w:val="28"/>
          <w:szCs w:val="28"/>
        </w:rPr>
      </w:pPr>
      <w:r>
        <w:rPr>
          <w:rFonts w:ascii="仿宋_GB2312" w:eastAsia="仿宋_GB2312" w:hint="eastAsia"/>
          <w:b w:val="0"/>
          <w:sz w:val="28"/>
          <w:szCs w:val="28"/>
        </w:rPr>
        <w:t>（6）本次对公诉及检察监督项目的绩效情况进行分析和评价的基础数据来源于</w:t>
      </w:r>
      <w:r w:rsidR="008823BC">
        <w:rPr>
          <w:rFonts w:ascii="仿宋_GB2312" w:eastAsia="仿宋_GB2312" w:hint="eastAsia"/>
          <w:b w:val="0"/>
          <w:sz w:val="28"/>
          <w:szCs w:val="28"/>
        </w:rPr>
        <w:t>项目负责单位提供的</w:t>
      </w:r>
      <w:r>
        <w:rPr>
          <w:rFonts w:ascii="仿宋_GB2312" w:eastAsia="仿宋_GB2312" w:hint="eastAsia"/>
          <w:b w:val="0"/>
          <w:sz w:val="28"/>
          <w:szCs w:val="28"/>
        </w:rPr>
        <w:t>相关资料，上述资料数据的完整性、真实性、准确性直接影响绩效评价结果。</w:t>
      </w:r>
    </w:p>
    <w:p w:rsidR="00DD719C" w:rsidRPr="00DD719C" w:rsidRDefault="00DD719C" w:rsidP="00116E1F">
      <w:pPr>
        <w:spacing w:line="552" w:lineRule="exact"/>
        <w:ind w:firstLineChars="200" w:firstLine="640"/>
        <w:rPr>
          <w:rFonts w:hAnsi="仿宋"/>
          <w:szCs w:val="32"/>
        </w:rPr>
      </w:pPr>
    </w:p>
    <w:p w:rsidR="00116E1F" w:rsidRDefault="00116E1F" w:rsidP="00116E1F">
      <w:pPr>
        <w:spacing w:line="552" w:lineRule="exact"/>
        <w:ind w:firstLineChars="200" w:firstLine="640"/>
        <w:rPr>
          <w:rFonts w:ascii="黑体" w:eastAsia="黑体" w:hAnsi="仿宋"/>
          <w:szCs w:val="32"/>
        </w:rPr>
      </w:pPr>
      <w:r w:rsidRPr="00FD235A">
        <w:rPr>
          <w:rFonts w:ascii="黑体" w:eastAsia="黑体" w:hAnsi="仿宋" w:hint="eastAsia"/>
          <w:szCs w:val="32"/>
        </w:rPr>
        <w:t>三、综合评价情况及评价结论（附相关评分表）</w:t>
      </w:r>
    </w:p>
    <w:p w:rsidR="00DD719C" w:rsidRDefault="00DD719C" w:rsidP="00DD719C">
      <w:pPr>
        <w:spacing w:line="600" w:lineRule="exact"/>
        <w:ind w:firstLineChars="200" w:firstLine="560"/>
        <w:rPr>
          <w:rFonts w:hAnsi="楷体" w:cs="楷体"/>
          <w:sz w:val="28"/>
          <w:szCs w:val="28"/>
        </w:rPr>
      </w:pPr>
      <w:r>
        <w:rPr>
          <w:rFonts w:hAnsi="楷体" w:cs="楷体" w:hint="eastAsia"/>
          <w:sz w:val="28"/>
          <w:szCs w:val="28"/>
        </w:rPr>
        <w:t>我们结合现场评价获取的情况和信息，兼顾主管部门及项目单位提交的评价材料及其佐证材料，我们认为公诉及检察监督项目实施过程中，围绕公诉及检察监督项目和财务执行情况等方面进行了一系列的工作，通过公诉及检察监督项目</w:t>
      </w:r>
      <w:r>
        <w:rPr>
          <w:rFonts w:hint="eastAsia"/>
          <w:sz w:val="28"/>
          <w:szCs w:val="28"/>
        </w:rPr>
        <w:t>的</w:t>
      </w:r>
      <w:r>
        <w:rPr>
          <w:rFonts w:hAnsi="楷体" w:cs="楷体" w:hint="eastAsia"/>
          <w:sz w:val="28"/>
          <w:szCs w:val="28"/>
        </w:rPr>
        <w:t>实施，基本达到了预期的绩效目标，也取得一定的社会效益。综合评定公诉及检察监督项目绩效分数为94.00分，绩效等级“优”，（各级指标得分情况详见附件）一级指标得分情况详见下表：</w:t>
      </w:r>
    </w:p>
    <w:tbl>
      <w:tblPr>
        <w:tblW w:w="8457" w:type="dxa"/>
        <w:tblInd w:w="154" w:type="dxa"/>
        <w:tblBorders>
          <w:top w:val="single" w:sz="8" w:space="0" w:color="000000"/>
          <w:bottom w:val="single" w:sz="8" w:space="0" w:color="000000"/>
          <w:insideH w:val="dotted" w:sz="4" w:space="0" w:color="auto"/>
          <w:insideV w:val="dotted" w:sz="4" w:space="0" w:color="auto"/>
        </w:tblBorders>
        <w:tblLayout w:type="fixed"/>
        <w:tblCellMar>
          <w:left w:w="0" w:type="dxa"/>
          <w:right w:w="0" w:type="dxa"/>
        </w:tblCellMar>
        <w:tblLook w:val="04A0"/>
      </w:tblPr>
      <w:tblGrid>
        <w:gridCol w:w="2618"/>
        <w:gridCol w:w="2919"/>
        <w:gridCol w:w="2920"/>
      </w:tblGrid>
      <w:tr w:rsidR="00DD719C" w:rsidTr="009B3901">
        <w:trPr>
          <w:trHeight w:val="420"/>
        </w:trPr>
        <w:tc>
          <w:tcPr>
            <w:tcW w:w="261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szCs w:val="21"/>
              </w:rPr>
            </w:pPr>
            <w:r>
              <w:rPr>
                <w:rFonts w:hAnsi="楷体" w:cs="楷体" w:hint="eastAsia"/>
                <w:color w:val="000000"/>
                <w:kern w:val="0"/>
                <w:szCs w:val="21"/>
              </w:rPr>
              <w:t>评价准则</w:t>
            </w:r>
          </w:p>
        </w:tc>
        <w:tc>
          <w:tcPr>
            <w:tcW w:w="2919" w:type="dxa"/>
            <w:shd w:val="clear" w:color="auto" w:fill="auto"/>
            <w:tcMar>
              <w:top w:w="12" w:type="dxa"/>
              <w:left w:w="12" w:type="dxa"/>
              <w:right w:w="12" w:type="dxa"/>
            </w:tcMar>
            <w:vAlign w:val="center"/>
          </w:tcPr>
          <w:p w:rsidR="00DD719C" w:rsidRDefault="00DD719C" w:rsidP="009B3901">
            <w:pPr>
              <w:widowControl/>
              <w:jc w:val="right"/>
              <w:textAlignment w:val="center"/>
              <w:rPr>
                <w:rFonts w:hAnsi="楷体" w:cs="楷体"/>
                <w:color w:val="000000"/>
                <w:szCs w:val="21"/>
              </w:rPr>
            </w:pPr>
            <w:r>
              <w:rPr>
                <w:rFonts w:hAnsi="楷体" w:cs="楷体" w:hint="eastAsia"/>
                <w:color w:val="000000"/>
                <w:kern w:val="0"/>
                <w:szCs w:val="21"/>
              </w:rPr>
              <w:t>分值</w:t>
            </w:r>
          </w:p>
        </w:tc>
        <w:tc>
          <w:tcPr>
            <w:tcW w:w="2920" w:type="dxa"/>
            <w:shd w:val="clear" w:color="auto" w:fill="auto"/>
            <w:tcMar>
              <w:top w:w="12" w:type="dxa"/>
              <w:left w:w="12" w:type="dxa"/>
              <w:right w:w="12" w:type="dxa"/>
            </w:tcMar>
            <w:vAlign w:val="center"/>
          </w:tcPr>
          <w:p w:rsidR="00DD719C" w:rsidRDefault="00DD719C" w:rsidP="009B3901">
            <w:pPr>
              <w:widowControl/>
              <w:jc w:val="right"/>
              <w:textAlignment w:val="center"/>
              <w:rPr>
                <w:rFonts w:hAnsi="楷体" w:cs="楷体"/>
                <w:color w:val="000000"/>
                <w:szCs w:val="21"/>
              </w:rPr>
            </w:pPr>
            <w:r>
              <w:rPr>
                <w:rFonts w:hAnsi="楷体" w:cs="楷体" w:hint="eastAsia"/>
                <w:color w:val="000000"/>
                <w:kern w:val="0"/>
                <w:szCs w:val="21"/>
              </w:rPr>
              <w:t>实际得分</w:t>
            </w:r>
          </w:p>
        </w:tc>
      </w:tr>
      <w:tr w:rsidR="00DD719C" w:rsidTr="009B3901">
        <w:trPr>
          <w:trHeight w:val="420"/>
        </w:trPr>
        <w:tc>
          <w:tcPr>
            <w:tcW w:w="261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szCs w:val="21"/>
              </w:rPr>
            </w:pPr>
            <w:r>
              <w:rPr>
                <w:rFonts w:hAnsi="楷体" w:cs="楷体" w:hint="eastAsia"/>
                <w:color w:val="000000"/>
                <w:kern w:val="0"/>
                <w:szCs w:val="21"/>
              </w:rPr>
              <w:t>决策</w:t>
            </w:r>
          </w:p>
        </w:tc>
        <w:tc>
          <w:tcPr>
            <w:tcW w:w="2919"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18.00</w:t>
            </w:r>
          </w:p>
        </w:tc>
        <w:tc>
          <w:tcPr>
            <w:tcW w:w="2920"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17.00</w:t>
            </w:r>
          </w:p>
        </w:tc>
      </w:tr>
      <w:tr w:rsidR="00DD719C" w:rsidTr="009B3901">
        <w:trPr>
          <w:trHeight w:val="420"/>
        </w:trPr>
        <w:tc>
          <w:tcPr>
            <w:tcW w:w="261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szCs w:val="21"/>
              </w:rPr>
            </w:pPr>
            <w:r>
              <w:rPr>
                <w:rFonts w:hAnsi="楷体" w:cs="楷体" w:hint="eastAsia"/>
                <w:color w:val="000000"/>
                <w:kern w:val="0"/>
                <w:szCs w:val="21"/>
              </w:rPr>
              <w:t>过 程</w:t>
            </w:r>
          </w:p>
        </w:tc>
        <w:tc>
          <w:tcPr>
            <w:tcW w:w="2919"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30.00</w:t>
            </w:r>
          </w:p>
        </w:tc>
        <w:tc>
          <w:tcPr>
            <w:tcW w:w="2920"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highlight w:val="yellow"/>
              </w:rPr>
            </w:pPr>
            <w:r>
              <w:rPr>
                <w:rFonts w:ascii="Arial Narrow" w:hAnsi="Arial Narrow" w:cs="楷体" w:hint="eastAsia"/>
                <w:color w:val="000000"/>
                <w:sz w:val="18"/>
                <w:szCs w:val="18"/>
              </w:rPr>
              <w:t>30.00</w:t>
            </w:r>
          </w:p>
        </w:tc>
      </w:tr>
      <w:tr w:rsidR="00DD719C" w:rsidTr="009B3901">
        <w:trPr>
          <w:trHeight w:val="420"/>
        </w:trPr>
        <w:tc>
          <w:tcPr>
            <w:tcW w:w="261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szCs w:val="21"/>
              </w:rPr>
            </w:pPr>
            <w:r>
              <w:rPr>
                <w:rFonts w:hAnsi="楷体" w:cs="楷体" w:hint="eastAsia"/>
                <w:color w:val="000000"/>
                <w:kern w:val="0"/>
                <w:szCs w:val="21"/>
              </w:rPr>
              <w:t>产 出</w:t>
            </w:r>
          </w:p>
        </w:tc>
        <w:tc>
          <w:tcPr>
            <w:tcW w:w="2919"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34.00</w:t>
            </w:r>
          </w:p>
        </w:tc>
        <w:tc>
          <w:tcPr>
            <w:tcW w:w="2920"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highlight w:val="yellow"/>
              </w:rPr>
            </w:pPr>
            <w:r>
              <w:rPr>
                <w:rFonts w:ascii="Arial Narrow" w:hAnsi="Arial Narrow" w:cs="楷体" w:hint="eastAsia"/>
                <w:color w:val="000000"/>
                <w:sz w:val="18"/>
                <w:szCs w:val="18"/>
              </w:rPr>
              <w:t>30.00</w:t>
            </w:r>
          </w:p>
        </w:tc>
      </w:tr>
      <w:tr w:rsidR="00DD719C" w:rsidTr="009B3901">
        <w:trPr>
          <w:trHeight w:val="420"/>
        </w:trPr>
        <w:tc>
          <w:tcPr>
            <w:tcW w:w="261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szCs w:val="21"/>
              </w:rPr>
            </w:pPr>
            <w:r>
              <w:rPr>
                <w:rFonts w:hAnsi="楷体" w:cs="楷体" w:hint="eastAsia"/>
                <w:color w:val="000000"/>
                <w:kern w:val="0"/>
                <w:szCs w:val="21"/>
              </w:rPr>
              <w:t>效 益</w:t>
            </w:r>
          </w:p>
        </w:tc>
        <w:tc>
          <w:tcPr>
            <w:tcW w:w="2919"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18.00</w:t>
            </w:r>
          </w:p>
        </w:tc>
        <w:tc>
          <w:tcPr>
            <w:tcW w:w="2920"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highlight w:val="yellow"/>
              </w:rPr>
            </w:pPr>
            <w:r>
              <w:rPr>
                <w:rFonts w:ascii="Arial Narrow" w:hAnsi="Arial Narrow" w:cs="楷体" w:hint="eastAsia"/>
                <w:color w:val="000000"/>
                <w:sz w:val="18"/>
                <w:szCs w:val="18"/>
              </w:rPr>
              <w:t>17.00</w:t>
            </w:r>
          </w:p>
        </w:tc>
      </w:tr>
      <w:tr w:rsidR="00DD719C" w:rsidTr="009B3901">
        <w:trPr>
          <w:trHeight w:val="420"/>
        </w:trPr>
        <w:tc>
          <w:tcPr>
            <w:tcW w:w="261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szCs w:val="21"/>
              </w:rPr>
            </w:pPr>
            <w:r>
              <w:rPr>
                <w:rFonts w:hAnsi="楷体" w:cs="楷体" w:hint="eastAsia"/>
                <w:color w:val="000000"/>
                <w:kern w:val="0"/>
                <w:szCs w:val="21"/>
              </w:rPr>
              <w:t>总 分</w:t>
            </w:r>
          </w:p>
        </w:tc>
        <w:tc>
          <w:tcPr>
            <w:tcW w:w="2919"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color w:val="000000"/>
                <w:kern w:val="0"/>
                <w:sz w:val="18"/>
                <w:szCs w:val="18"/>
              </w:rPr>
              <w:t>10</w:t>
            </w:r>
            <w:r>
              <w:rPr>
                <w:rFonts w:ascii="Arial Narrow" w:hAnsi="Arial Narrow" w:cs="楷体" w:hint="eastAsia"/>
                <w:color w:val="000000"/>
                <w:kern w:val="0"/>
                <w:sz w:val="18"/>
                <w:szCs w:val="18"/>
              </w:rPr>
              <w:t>0.00</w:t>
            </w:r>
          </w:p>
        </w:tc>
        <w:tc>
          <w:tcPr>
            <w:tcW w:w="2920"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highlight w:val="yellow"/>
              </w:rPr>
            </w:pPr>
            <w:r>
              <w:rPr>
                <w:rFonts w:ascii="Arial Narrow" w:hAnsi="Arial Narrow" w:cs="楷体" w:hint="eastAsia"/>
                <w:sz w:val="18"/>
                <w:szCs w:val="18"/>
              </w:rPr>
              <w:t>94.00</w:t>
            </w:r>
          </w:p>
        </w:tc>
      </w:tr>
    </w:tbl>
    <w:p w:rsidR="00DD719C" w:rsidRPr="00FD235A" w:rsidRDefault="00DD719C" w:rsidP="00116E1F">
      <w:pPr>
        <w:spacing w:line="552" w:lineRule="exact"/>
        <w:ind w:firstLineChars="200" w:firstLine="640"/>
        <w:rPr>
          <w:rFonts w:ascii="黑体" w:eastAsia="黑体" w:hAnsi="仿宋"/>
          <w:szCs w:val="32"/>
        </w:rPr>
      </w:pPr>
    </w:p>
    <w:p w:rsidR="00116E1F" w:rsidRPr="00FD235A" w:rsidRDefault="00116E1F" w:rsidP="00116E1F">
      <w:pPr>
        <w:spacing w:line="552" w:lineRule="exact"/>
        <w:ind w:firstLineChars="200" w:firstLine="640"/>
        <w:rPr>
          <w:rFonts w:ascii="黑体" w:eastAsia="黑体" w:hAnsi="仿宋"/>
          <w:szCs w:val="32"/>
        </w:rPr>
      </w:pPr>
      <w:r w:rsidRPr="00FD235A">
        <w:rPr>
          <w:rFonts w:ascii="黑体" w:eastAsia="黑体" w:hAnsi="仿宋" w:hint="eastAsia"/>
          <w:szCs w:val="32"/>
        </w:rPr>
        <w:t>四、绩效评价指标分析</w:t>
      </w:r>
    </w:p>
    <w:p w:rsidR="00116E1F" w:rsidRDefault="00116E1F" w:rsidP="00116E1F">
      <w:pPr>
        <w:spacing w:line="552" w:lineRule="exact"/>
        <w:ind w:firstLineChars="200" w:firstLine="640"/>
        <w:outlineLvl w:val="0"/>
        <w:rPr>
          <w:rFonts w:hAnsi="仿宋"/>
          <w:szCs w:val="32"/>
        </w:rPr>
      </w:pPr>
      <w:r w:rsidRPr="00FD235A">
        <w:rPr>
          <w:rFonts w:hAnsi="仿宋" w:hint="eastAsia"/>
          <w:szCs w:val="32"/>
        </w:rPr>
        <w:lastRenderedPageBreak/>
        <w:t>（一）项目决策情况。</w:t>
      </w:r>
    </w:p>
    <w:p w:rsidR="00DD719C" w:rsidRDefault="00DD719C" w:rsidP="00DD719C">
      <w:pPr>
        <w:pStyle w:val="2"/>
        <w:spacing w:before="0" w:after="0"/>
        <w:ind w:firstLineChars="200" w:firstLine="562"/>
        <w:rPr>
          <w:sz w:val="28"/>
          <w:szCs w:val="28"/>
        </w:rPr>
      </w:pPr>
      <w:bookmarkStart w:id="0" w:name="_Toc50732897"/>
      <w:r>
        <w:rPr>
          <w:rFonts w:hint="eastAsia"/>
          <w:sz w:val="28"/>
          <w:szCs w:val="28"/>
        </w:rPr>
        <w:t>1.</w:t>
      </w:r>
      <w:bookmarkEnd w:id="0"/>
      <w:r>
        <w:rPr>
          <w:rFonts w:hint="eastAsia"/>
          <w:sz w:val="28"/>
          <w:szCs w:val="28"/>
        </w:rPr>
        <w:t>决策</w:t>
      </w:r>
    </w:p>
    <w:p w:rsidR="00DD719C" w:rsidRDefault="00DD719C" w:rsidP="007F4D1A">
      <w:pPr>
        <w:pStyle w:val="3"/>
        <w:spacing w:before="0" w:after="0"/>
        <w:ind w:firstLineChars="200" w:firstLine="562"/>
        <w:rPr>
          <w:sz w:val="28"/>
          <w:szCs w:val="28"/>
        </w:rPr>
      </w:pPr>
      <w:r>
        <w:rPr>
          <w:rFonts w:hint="eastAsia"/>
          <w:sz w:val="28"/>
          <w:szCs w:val="28"/>
        </w:rPr>
        <w:t>1.1</w:t>
      </w:r>
      <w:r>
        <w:rPr>
          <w:rFonts w:hint="eastAsia"/>
          <w:sz w:val="28"/>
          <w:szCs w:val="28"/>
        </w:rPr>
        <w:t>指标得分计算情况</w:t>
      </w:r>
    </w:p>
    <w:tbl>
      <w:tblPr>
        <w:tblW w:w="8363" w:type="dxa"/>
        <w:tblInd w:w="296" w:type="dxa"/>
        <w:tblBorders>
          <w:top w:val="single" w:sz="8" w:space="0" w:color="000000"/>
          <w:bottom w:val="single" w:sz="8" w:space="0" w:color="000000"/>
          <w:insideH w:val="dotted" w:sz="4" w:space="0" w:color="auto"/>
          <w:insideV w:val="dotted" w:sz="4" w:space="0" w:color="auto"/>
        </w:tblBorders>
        <w:tblLayout w:type="fixed"/>
        <w:tblCellMar>
          <w:left w:w="0" w:type="dxa"/>
          <w:right w:w="0" w:type="dxa"/>
        </w:tblCellMar>
        <w:tblLook w:val="04A0"/>
      </w:tblPr>
      <w:tblGrid>
        <w:gridCol w:w="3568"/>
        <w:gridCol w:w="2391"/>
        <w:gridCol w:w="2404"/>
      </w:tblGrid>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szCs w:val="21"/>
              </w:rPr>
            </w:pPr>
            <w:r>
              <w:rPr>
                <w:rFonts w:hAnsi="楷体" w:cs="楷体" w:hint="eastAsia"/>
                <w:color w:val="000000"/>
                <w:kern w:val="0"/>
                <w:szCs w:val="21"/>
              </w:rPr>
              <w:t>评价准则</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hAnsi="楷体" w:cs="楷体"/>
                <w:color w:val="000000"/>
                <w:szCs w:val="21"/>
              </w:rPr>
            </w:pPr>
            <w:r>
              <w:rPr>
                <w:rFonts w:hAnsi="楷体" w:cs="楷体" w:hint="eastAsia"/>
                <w:color w:val="000000"/>
                <w:kern w:val="0"/>
                <w:szCs w:val="21"/>
              </w:rPr>
              <w:t>分值</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hAnsi="楷体" w:cs="楷体"/>
                <w:color w:val="000000"/>
                <w:szCs w:val="21"/>
              </w:rPr>
            </w:pPr>
            <w:r>
              <w:rPr>
                <w:rFonts w:hAnsi="楷体" w:cs="楷体" w:hint="eastAsia"/>
                <w:color w:val="000000"/>
                <w:kern w:val="0"/>
                <w:szCs w:val="21"/>
              </w:rPr>
              <w:t>得分</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szCs w:val="21"/>
              </w:rPr>
            </w:pPr>
            <w:r>
              <w:rPr>
                <w:rFonts w:hAnsi="楷体" w:cs="楷体" w:hint="eastAsia"/>
                <w:color w:val="000000"/>
                <w:kern w:val="0"/>
                <w:szCs w:val="21"/>
              </w:rPr>
              <w:t>立项依据充分性</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5.00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5.00</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szCs w:val="21"/>
              </w:rPr>
            </w:pPr>
            <w:r>
              <w:rPr>
                <w:rFonts w:hAnsi="楷体" w:cs="楷体" w:hint="eastAsia"/>
                <w:color w:val="000000"/>
                <w:kern w:val="0"/>
                <w:szCs w:val="21"/>
              </w:rPr>
              <w:t>立项程序规范性</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3.00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3.00</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szCs w:val="21"/>
              </w:rPr>
            </w:pPr>
            <w:r>
              <w:rPr>
                <w:rFonts w:hAnsi="楷体" w:cs="楷体" w:hint="eastAsia"/>
                <w:color w:val="000000"/>
                <w:kern w:val="0"/>
                <w:szCs w:val="21"/>
              </w:rPr>
              <w:t>绩效指标明确性</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3.00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2.00</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szCs w:val="21"/>
              </w:rPr>
            </w:pPr>
            <w:r>
              <w:rPr>
                <w:rFonts w:hAnsi="楷体" w:cs="楷体" w:hint="eastAsia"/>
                <w:color w:val="000000"/>
                <w:kern w:val="0"/>
                <w:szCs w:val="21"/>
              </w:rPr>
              <w:t>预算编制科学性</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5.00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5.00</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szCs w:val="21"/>
              </w:rPr>
            </w:pPr>
            <w:r>
              <w:rPr>
                <w:rFonts w:hAnsi="楷体" w:cs="楷体" w:hint="eastAsia"/>
                <w:color w:val="000000"/>
                <w:kern w:val="0"/>
                <w:szCs w:val="21"/>
              </w:rPr>
              <w:t>资金分配合理性</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2.00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2.00</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kern w:val="0"/>
                <w:szCs w:val="21"/>
              </w:rPr>
            </w:pPr>
            <w:r>
              <w:rPr>
                <w:rFonts w:hAnsi="楷体" w:cs="楷体" w:hint="eastAsia"/>
                <w:color w:val="000000"/>
                <w:kern w:val="0"/>
                <w:szCs w:val="21"/>
              </w:rPr>
              <w:t>合  计</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kern w:val="0"/>
                <w:sz w:val="18"/>
                <w:szCs w:val="18"/>
              </w:rPr>
            </w:pPr>
            <w:r>
              <w:rPr>
                <w:rFonts w:ascii="Arial Narrow" w:hAnsi="Arial Narrow" w:cs="楷体" w:hint="eastAsia"/>
                <w:color w:val="000000"/>
                <w:kern w:val="0"/>
                <w:sz w:val="18"/>
                <w:szCs w:val="18"/>
              </w:rPr>
              <w:t>18.00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17.00</w:t>
            </w:r>
          </w:p>
        </w:tc>
      </w:tr>
    </w:tbl>
    <w:p w:rsidR="00DD719C" w:rsidRDefault="00DD719C" w:rsidP="007F4D1A">
      <w:pPr>
        <w:pStyle w:val="3"/>
        <w:spacing w:before="0" w:after="0" w:line="360" w:lineRule="auto"/>
        <w:ind w:firstLineChars="200" w:firstLine="562"/>
        <w:rPr>
          <w:sz w:val="28"/>
          <w:szCs w:val="28"/>
        </w:rPr>
      </w:pPr>
      <w:r>
        <w:rPr>
          <w:rFonts w:hint="eastAsia"/>
          <w:sz w:val="28"/>
          <w:szCs w:val="28"/>
        </w:rPr>
        <w:t>1.2</w:t>
      </w:r>
      <w:r>
        <w:rPr>
          <w:rFonts w:hint="eastAsia"/>
          <w:sz w:val="28"/>
          <w:szCs w:val="28"/>
        </w:rPr>
        <w:t>指标得分说明及绩效分析</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t>1.2.1立项依据充分性（5分）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项目立项是否符合法律法规、相关政策、发展规划以及部门职责，用以反映和考核项目立项依据情况。评价要点：</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（1）项目立项是否符合国家法律法规、国民经济发展规划和相关政策；</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（2）项目立项是否符合行业发展规划和政策要求；</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（3）项目是否属于公共财政支持范围；</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（4）是否符合中央、地方事权支出责任划分原则；</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（5）项目是否与相关部门同类项目或部门内部相关项目重复。</w:t>
      </w:r>
    </w:p>
    <w:p w:rsidR="00DD719C" w:rsidRDefault="00DD719C" w:rsidP="007F4D1A">
      <w:pPr>
        <w:spacing w:beforeLines="30" w:afterLines="30" w:line="360" w:lineRule="auto"/>
        <w:ind w:firstLineChars="200" w:firstLine="562"/>
        <w:rPr>
          <w:rFonts w:hAnsi="楷体" w:cs="楷体"/>
          <w:sz w:val="28"/>
          <w:szCs w:val="28"/>
        </w:rPr>
      </w:pPr>
      <w:r>
        <w:rPr>
          <w:rFonts w:hAnsi="楷体" w:cs="楷体" w:hint="eastAsia"/>
          <w:b/>
          <w:sz w:val="28"/>
          <w:szCs w:val="28"/>
        </w:rPr>
        <w:t>评分标准：</w:t>
      </w:r>
      <w:r>
        <w:rPr>
          <w:rFonts w:hAnsi="楷体" w:cs="楷体" w:hint="eastAsia"/>
          <w:sz w:val="28"/>
          <w:szCs w:val="28"/>
        </w:rPr>
        <w:t>符合其中1项得1分。</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lastRenderedPageBreak/>
        <w:t>评价分析：</w:t>
      </w:r>
      <w:r>
        <w:rPr>
          <w:rFonts w:hAnsi="楷体" w:cs="楷体" w:hint="eastAsia"/>
          <w:sz w:val="28"/>
          <w:szCs w:val="28"/>
        </w:rPr>
        <w:t>公诉及检察监督项目是人民检察院的基本职责内容设立的，公诉及检察监督项目的设立符合国家的法律法规、国民经济发展规划和相关政策，符合中央、地方事权支出责任划分原则，属于公共财政支持的范围。</w:t>
      </w:r>
    </w:p>
    <w:p w:rsidR="00DD719C" w:rsidRDefault="00DD719C" w:rsidP="007F4D1A">
      <w:pPr>
        <w:spacing w:line="360" w:lineRule="auto"/>
        <w:ind w:firstLineChars="200" w:firstLine="562"/>
        <w:rPr>
          <w:rFonts w:hAnsi="Cambria"/>
          <w:b/>
          <w:bCs/>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5</w:t>
      </w:r>
      <w:r>
        <w:rPr>
          <w:rFonts w:hAnsi="楷体" w:cs="楷体"/>
          <w:sz w:val="28"/>
          <w:szCs w:val="28"/>
        </w:rPr>
        <w:t>分。</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t>1.2.2立项程序规范性（3分）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项目申请、设立过程是否符合相关要求，用以反映和考核项目立项的规范情况。评价要点：</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（1）项目是否按照规定的程序申请设立；</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（2）审批文件、材料是否符合相关要求；</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（3）事前是否已经经过必要的可行性研究、专家论证、风险评估、绩效评估、集体决策。</w:t>
      </w:r>
    </w:p>
    <w:p w:rsidR="00DD719C" w:rsidRDefault="00DD719C" w:rsidP="007F4D1A">
      <w:pPr>
        <w:spacing w:beforeLines="30" w:afterLines="30" w:line="360" w:lineRule="auto"/>
        <w:ind w:firstLineChars="200" w:firstLine="562"/>
        <w:rPr>
          <w:rFonts w:hAnsi="楷体" w:cs="楷体"/>
          <w:sz w:val="28"/>
          <w:szCs w:val="28"/>
        </w:rPr>
      </w:pPr>
      <w:r>
        <w:rPr>
          <w:rFonts w:hAnsi="楷体" w:cs="楷体" w:hint="eastAsia"/>
          <w:b/>
          <w:sz w:val="28"/>
          <w:szCs w:val="28"/>
        </w:rPr>
        <w:t>评分标准：</w:t>
      </w:r>
      <w:r>
        <w:rPr>
          <w:rFonts w:hAnsi="楷体" w:cs="楷体" w:hint="eastAsia"/>
          <w:sz w:val="28"/>
          <w:szCs w:val="28"/>
        </w:rPr>
        <w:t>符合其中1项得1分。</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评价分析：</w:t>
      </w:r>
      <w:r>
        <w:rPr>
          <w:rFonts w:hAnsi="楷体" w:cs="楷体" w:hint="eastAsia"/>
          <w:sz w:val="28"/>
          <w:szCs w:val="28"/>
        </w:rPr>
        <w:t>公诉及检察监督项目作为海南省人民检察院的经常性项目，在编制预算时，根据《预算法》的要求，经过两上两下程序，在经人大批准后，省财政厅下达了海南省人民检察院预算批复，因此，预算项目的设立各项程序符合要求，综上所述公诉及检察监督项目申请设立、审批文件、材料符合相关要求。</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3</w:t>
      </w:r>
      <w:r>
        <w:rPr>
          <w:rFonts w:hAnsi="楷体" w:cs="楷体"/>
          <w:sz w:val="28"/>
          <w:szCs w:val="28"/>
        </w:rPr>
        <w:t>分。</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t>1.2.3绩效指标明确性（3分）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依据绩效目标设定的绩效指标是否清晰、细化、可衡量等，用以</w:t>
      </w:r>
      <w:r>
        <w:rPr>
          <w:rFonts w:hAnsi="楷体" w:cs="楷体" w:hint="eastAsia"/>
          <w:sz w:val="28"/>
          <w:szCs w:val="28"/>
        </w:rPr>
        <w:lastRenderedPageBreak/>
        <w:t>反映和考核项目绩效目标的明细化情况。评价要点：</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（1）是否将项目绩效目标细化分解为具体的绩效指标（1分）；</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（2）是否通过清晰、可衡量的指标值予以体现（1分）；</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（3）是否与项目目标任务数或计划数相对应（1分）</w:t>
      </w:r>
    </w:p>
    <w:p w:rsidR="00DD719C" w:rsidRDefault="00DD719C" w:rsidP="007F4D1A">
      <w:pPr>
        <w:spacing w:beforeLines="30" w:afterLines="30" w:line="360" w:lineRule="auto"/>
        <w:ind w:firstLineChars="200" w:firstLine="562"/>
        <w:rPr>
          <w:rFonts w:hAnsi="楷体" w:cs="楷体"/>
          <w:b/>
          <w:sz w:val="28"/>
          <w:szCs w:val="28"/>
        </w:rPr>
      </w:pPr>
      <w:r>
        <w:rPr>
          <w:rFonts w:hAnsi="楷体" w:cs="楷体" w:hint="eastAsia"/>
          <w:b/>
          <w:sz w:val="28"/>
          <w:szCs w:val="28"/>
        </w:rPr>
        <w:t>评分标准：</w:t>
      </w:r>
      <w:r>
        <w:rPr>
          <w:rFonts w:hAnsi="楷体" w:cs="楷体" w:hint="eastAsia"/>
          <w:sz w:val="28"/>
          <w:szCs w:val="28"/>
        </w:rPr>
        <w:t>符合其中1项得1分。</w:t>
      </w:r>
    </w:p>
    <w:p w:rsidR="00DD719C" w:rsidRDefault="00DD719C" w:rsidP="007F4D1A">
      <w:pPr>
        <w:spacing w:line="360" w:lineRule="auto"/>
        <w:ind w:firstLineChars="200" w:firstLine="562"/>
        <w:rPr>
          <w:rFonts w:hAnsi="楷体" w:cs="楷体"/>
          <w:bCs/>
          <w:sz w:val="28"/>
          <w:szCs w:val="28"/>
        </w:rPr>
      </w:pPr>
      <w:r>
        <w:rPr>
          <w:rFonts w:hAnsi="楷体" w:cs="楷体" w:hint="eastAsia"/>
          <w:b/>
          <w:sz w:val="28"/>
          <w:szCs w:val="28"/>
        </w:rPr>
        <w:t>评价分析：</w:t>
      </w:r>
      <w:r>
        <w:rPr>
          <w:rFonts w:hAnsi="楷体" w:cs="楷体" w:hint="eastAsia"/>
          <w:bCs/>
          <w:sz w:val="28"/>
          <w:szCs w:val="28"/>
        </w:rPr>
        <w:t>海南省人民检察院对公诉及检察监督项目组织编写了项目绩效目标表，明确了项目的绩效目标，并对设定的指标进行了量化，使各指标得以量化评价。但存在设定的指标不够全面，不够细化等问题。</w:t>
      </w:r>
    </w:p>
    <w:p w:rsidR="00DD719C" w:rsidRDefault="00DD719C" w:rsidP="00DD719C">
      <w:pPr>
        <w:spacing w:line="360" w:lineRule="auto"/>
        <w:ind w:firstLineChars="200" w:firstLine="560"/>
        <w:rPr>
          <w:rFonts w:hAnsi="楷体" w:cs="楷体"/>
          <w:bCs/>
          <w:sz w:val="28"/>
          <w:szCs w:val="28"/>
        </w:rPr>
      </w:pPr>
      <w:r>
        <w:rPr>
          <w:rFonts w:hAnsi="楷体" w:cs="楷体" w:hint="eastAsia"/>
          <w:bCs/>
          <w:sz w:val="28"/>
          <w:szCs w:val="28"/>
        </w:rPr>
        <w:t>因此，公诉及检察监督项目设置了明确的目标，并对设定的目标进行了量化，但存在设定的指标不够细化。</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w:t>
      </w:r>
      <w:r>
        <w:rPr>
          <w:rFonts w:hAnsi="楷体" w:cs="楷体" w:hint="eastAsia"/>
          <w:sz w:val="28"/>
          <w:szCs w:val="28"/>
        </w:rPr>
        <w:t>海南省人民检察院对公诉及检察监督项目组织编写了项目测算表，设定了可量化、可衡量的绩效目标，但设定的指标不够细化，</w:t>
      </w:r>
      <w:r>
        <w:rPr>
          <w:rFonts w:hAnsi="楷体" w:cs="楷体"/>
          <w:sz w:val="28"/>
          <w:szCs w:val="28"/>
        </w:rPr>
        <w:t>该指标综合得分为</w:t>
      </w:r>
      <w:r>
        <w:rPr>
          <w:rFonts w:hAnsi="楷体" w:cs="楷体" w:hint="eastAsia"/>
          <w:sz w:val="28"/>
          <w:szCs w:val="28"/>
        </w:rPr>
        <w:t>2</w:t>
      </w:r>
      <w:r>
        <w:rPr>
          <w:rFonts w:hAnsi="楷体" w:cs="楷体"/>
          <w:sz w:val="28"/>
          <w:szCs w:val="28"/>
        </w:rPr>
        <w:t>分。</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t>1.2.4预算编制科学性（5分）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项目预算编制是否经过科学论证、有明确标准，资金额度与年度目标是否相适应，用以反映和考核项目预算编制的科学性、合理性情况。评价要点：</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（1）预算编制是否经过科学论证；</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（2）预算内容与项目内容是否匹配；</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（3）预算额度测算依据是否充分，是否按照标准编制；</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lastRenderedPageBreak/>
        <w:t>（4）预算确定的项目投资额或资金量是否与工作任务相匹配。</w:t>
      </w:r>
    </w:p>
    <w:p w:rsidR="00DD719C" w:rsidRDefault="00DD719C" w:rsidP="007F4D1A">
      <w:pPr>
        <w:spacing w:beforeLines="30" w:afterLines="30" w:line="360" w:lineRule="auto"/>
        <w:ind w:firstLineChars="200" w:firstLine="562"/>
        <w:rPr>
          <w:rFonts w:hAnsi="楷体" w:cs="楷体"/>
          <w:b/>
          <w:sz w:val="28"/>
          <w:szCs w:val="28"/>
        </w:rPr>
      </w:pPr>
      <w:r>
        <w:rPr>
          <w:rFonts w:hAnsi="楷体" w:cs="楷体" w:hint="eastAsia"/>
          <w:b/>
          <w:sz w:val="28"/>
          <w:szCs w:val="28"/>
        </w:rPr>
        <w:t>评分标准：</w:t>
      </w:r>
      <w:r>
        <w:rPr>
          <w:rFonts w:hAnsi="楷体" w:cs="楷体" w:hint="eastAsia"/>
          <w:sz w:val="28"/>
          <w:szCs w:val="28"/>
        </w:rPr>
        <w:t>符合第1项得1分，符合第2项得2分，符合第3项得1分，符合第4项得1分。</w:t>
      </w:r>
    </w:p>
    <w:p w:rsidR="00DD719C" w:rsidRDefault="00DD719C" w:rsidP="007F4D1A">
      <w:pPr>
        <w:spacing w:beforeLines="30" w:afterLines="30" w:line="360" w:lineRule="auto"/>
        <w:ind w:firstLineChars="200" w:firstLine="562"/>
        <w:rPr>
          <w:rFonts w:hAnsi="楷体" w:cs="楷体"/>
          <w:sz w:val="28"/>
          <w:szCs w:val="28"/>
          <w:highlight w:val="yellow"/>
        </w:rPr>
      </w:pPr>
      <w:r>
        <w:rPr>
          <w:rFonts w:hAnsi="楷体" w:cs="楷体" w:hint="eastAsia"/>
          <w:b/>
          <w:sz w:val="28"/>
          <w:szCs w:val="28"/>
        </w:rPr>
        <w:t>评价分析：</w:t>
      </w:r>
      <w:r>
        <w:rPr>
          <w:rFonts w:hAnsi="楷体" w:cs="楷体" w:hint="eastAsia"/>
          <w:sz w:val="28"/>
          <w:szCs w:val="28"/>
        </w:rPr>
        <w:t>公诉及检察监督项目作为海南省人民检察院的经常性项目，在编制预算时，根据《预算法》的要求，经过两上两下程序，在经人大批准后，省财政厅下达了我院预算批复</w:t>
      </w:r>
      <w:r>
        <w:rPr>
          <w:rFonts w:hAnsi="楷体" w:cs="楷体" w:hint="eastAsia"/>
          <w:bCs/>
          <w:sz w:val="28"/>
          <w:szCs w:val="28"/>
        </w:rPr>
        <w:t>，按照标准编制；预算确定的工作任务相匹配。</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5</w:t>
      </w:r>
      <w:r>
        <w:rPr>
          <w:rFonts w:hAnsi="楷体" w:cs="楷体"/>
          <w:sz w:val="28"/>
          <w:szCs w:val="28"/>
        </w:rPr>
        <w:t>分。</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t>1.2.5资金分配合理性（2分）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项目预算资金分配是否有测算依据，与补助单位或地方实际是否相适应，用以反映和项目预算资金分配的科学性、合理性情况。评价要点：</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（1）预算资金分配依据是否充分；</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（2）资金分配额度是否合理，与项目单位或地方实际是否相适应。</w:t>
      </w:r>
    </w:p>
    <w:p w:rsidR="00DD719C" w:rsidRDefault="00DD719C" w:rsidP="007F4D1A">
      <w:pPr>
        <w:spacing w:beforeLines="30" w:afterLines="30" w:line="360" w:lineRule="auto"/>
        <w:ind w:firstLineChars="200" w:firstLine="562"/>
        <w:rPr>
          <w:rFonts w:hAnsi="楷体" w:cs="楷体"/>
          <w:b/>
          <w:sz w:val="28"/>
          <w:szCs w:val="28"/>
        </w:rPr>
      </w:pPr>
      <w:r>
        <w:rPr>
          <w:rFonts w:hAnsi="楷体" w:cs="楷体" w:hint="eastAsia"/>
          <w:b/>
          <w:sz w:val="28"/>
          <w:szCs w:val="28"/>
        </w:rPr>
        <w:t>评分标准：</w:t>
      </w:r>
      <w:r>
        <w:rPr>
          <w:rFonts w:hAnsi="楷体" w:cs="楷体" w:hint="eastAsia"/>
          <w:sz w:val="28"/>
          <w:szCs w:val="28"/>
        </w:rPr>
        <w:t>符合其中1项得1分。</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评价分析：</w:t>
      </w:r>
      <w:r>
        <w:rPr>
          <w:rFonts w:hAnsi="楷体" w:cs="楷体" w:hint="eastAsia"/>
          <w:sz w:val="28"/>
          <w:szCs w:val="28"/>
        </w:rPr>
        <w:t>根据2022年预算大本及海南省财政厅《关于批复2022年省级部门预算的通知》（琼财预〔2022〕29号）等文件进行的资金分配，预算资金分配依据充分、资金分配额度合理、与项目单位或地方实际相适应。</w:t>
      </w:r>
    </w:p>
    <w:p w:rsidR="00DD719C" w:rsidRP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2</w:t>
      </w:r>
      <w:r>
        <w:rPr>
          <w:rFonts w:hAnsi="楷体" w:cs="楷体"/>
          <w:sz w:val="28"/>
          <w:szCs w:val="28"/>
        </w:rPr>
        <w:t>分。</w:t>
      </w:r>
    </w:p>
    <w:p w:rsidR="00116E1F" w:rsidRDefault="00116E1F" w:rsidP="00116E1F">
      <w:pPr>
        <w:spacing w:line="552" w:lineRule="exact"/>
        <w:ind w:firstLineChars="200" w:firstLine="640"/>
        <w:outlineLvl w:val="0"/>
        <w:rPr>
          <w:rFonts w:hAnsi="仿宋"/>
          <w:szCs w:val="32"/>
        </w:rPr>
      </w:pPr>
      <w:r w:rsidRPr="00FD235A">
        <w:rPr>
          <w:rFonts w:hAnsi="仿宋" w:hint="eastAsia"/>
          <w:szCs w:val="32"/>
        </w:rPr>
        <w:lastRenderedPageBreak/>
        <w:t>（二）项目过程情况。</w:t>
      </w:r>
    </w:p>
    <w:p w:rsidR="00DD719C" w:rsidRDefault="00DD719C" w:rsidP="007F4D1A">
      <w:pPr>
        <w:pStyle w:val="3"/>
        <w:spacing w:before="0" w:after="0" w:line="360" w:lineRule="auto"/>
        <w:ind w:firstLineChars="200" w:firstLine="562"/>
        <w:rPr>
          <w:sz w:val="28"/>
          <w:szCs w:val="28"/>
        </w:rPr>
      </w:pPr>
      <w:r>
        <w:rPr>
          <w:rFonts w:hint="eastAsia"/>
          <w:sz w:val="28"/>
          <w:szCs w:val="28"/>
        </w:rPr>
        <w:t xml:space="preserve">2.1 </w:t>
      </w:r>
      <w:r>
        <w:rPr>
          <w:rFonts w:hint="eastAsia"/>
          <w:sz w:val="28"/>
          <w:szCs w:val="28"/>
        </w:rPr>
        <w:t>指标得分计算情况</w:t>
      </w:r>
    </w:p>
    <w:tbl>
      <w:tblPr>
        <w:tblW w:w="8363" w:type="dxa"/>
        <w:tblInd w:w="296" w:type="dxa"/>
        <w:tblBorders>
          <w:top w:val="single" w:sz="8" w:space="0" w:color="000000"/>
          <w:bottom w:val="single" w:sz="8" w:space="0" w:color="000000"/>
          <w:insideH w:val="dotted" w:sz="4" w:space="0" w:color="auto"/>
          <w:insideV w:val="dotted" w:sz="4" w:space="0" w:color="auto"/>
        </w:tblBorders>
        <w:tblLayout w:type="fixed"/>
        <w:tblCellMar>
          <w:left w:w="0" w:type="dxa"/>
          <w:right w:w="0" w:type="dxa"/>
        </w:tblCellMar>
        <w:tblLook w:val="04A0"/>
      </w:tblPr>
      <w:tblGrid>
        <w:gridCol w:w="3568"/>
        <w:gridCol w:w="2391"/>
        <w:gridCol w:w="2404"/>
      </w:tblGrid>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szCs w:val="21"/>
              </w:rPr>
            </w:pPr>
            <w:r>
              <w:rPr>
                <w:rFonts w:hAnsi="楷体" w:cs="楷体" w:hint="eastAsia"/>
                <w:color w:val="000000"/>
                <w:kern w:val="0"/>
                <w:szCs w:val="21"/>
              </w:rPr>
              <w:t>评价准则</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hAnsi="楷体" w:cs="楷体"/>
                <w:color w:val="000000"/>
                <w:szCs w:val="21"/>
              </w:rPr>
            </w:pPr>
            <w:r>
              <w:rPr>
                <w:rFonts w:hAnsi="楷体" w:cs="楷体" w:hint="eastAsia"/>
                <w:color w:val="000000"/>
                <w:kern w:val="0"/>
                <w:szCs w:val="21"/>
              </w:rPr>
              <w:t>分值</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hAnsi="楷体" w:cs="楷体"/>
                <w:color w:val="000000"/>
                <w:szCs w:val="21"/>
              </w:rPr>
            </w:pPr>
            <w:r>
              <w:rPr>
                <w:rFonts w:hAnsi="楷体" w:cs="楷体" w:hint="eastAsia"/>
                <w:color w:val="000000"/>
                <w:kern w:val="0"/>
                <w:szCs w:val="21"/>
              </w:rPr>
              <w:t>得分</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szCs w:val="21"/>
              </w:rPr>
            </w:pPr>
            <w:r>
              <w:rPr>
                <w:rFonts w:hAnsi="楷体" w:cs="楷体" w:hint="eastAsia"/>
                <w:color w:val="000000"/>
                <w:kern w:val="0"/>
                <w:szCs w:val="21"/>
              </w:rPr>
              <w:t>资金到位率</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7.00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7.00</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szCs w:val="21"/>
              </w:rPr>
            </w:pPr>
            <w:r>
              <w:rPr>
                <w:rFonts w:hAnsi="楷体" w:cs="楷体" w:hint="eastAsia"/>
                <w:color w:val="000000"/>
                <w:kern w:val="0"/>
                <w:szCs w:val="21"/>
              </w:rPr>
              <w:t>预算执行率</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9.00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3.22</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szCs w:val="21"/>
              </w:rPr>
            </w:pPr>
            <w:r>
              <w:rPr>
                <w:rFonts w:hAnsi="楷体" w:cs="楷体" w:hint="eastAsia"/>
                <w:color w:val="000000"/>
                <w:kern w:val="0"/>
                <w:szCs w:val="21"/>
              </w:rPr>
              <w:t>资金使用合规性</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8.00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8.00</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kern w:val="0"/>
                <w:szCs w:val="21"/>
              </w:rPr>
            </w:pPr>
            <w:r>
              <w:rPr>
                <w:rFonts w:hAnsi="楷体" w:cs="楷体" w:hint="eastAsia"/>
                <w:color w:val="000000"/>
                <w:kern w:val="0"/>
                <w:szCs w:val="21"/>
              </w:rPr>
              <w:t>管理制度健全性</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kern w:val="0"/>
                <w:sz w:val="18"/>
                <w:szCs w:val="18"/>
              </w:rPr>
            </w:pPr>
            <w:r>
              <w:rPr>
                <w:rFonts w:ascii="Arial Narrow" w:hAnsi="Arial Narrow" w:cs="楷体" w:hint="eastAsia"/>
                <w:color w:val="000000"/>
                <w:kern w:val="0"/>
                <w:sz w:val="18"/>
                <w:szCs w:val="18"/>
              </w:rPr>
              <w:t>2.00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2.00</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left"/>
              <w:textAlignment w:val="center"/>
              <w:rPr>
                <w:rFonts w:hAnsi="楷体" w:cs="楷体"/>
                <w:color w:val="000000"/>
                <w:kern w:val="0"/>
                <w:szCs w:val="21"/>
              </w:rPr>
            </w:pPr>
            <w:r>
              <w:rPr>
                <w:rFonts w:hAnsi="楷体" w:cs="楷体" w:hint="eastAsia"/>
                <w:color w:val="000000"/>
                <w:kern w:val="0"/>
                <w:szCs w:val="21"/>
              </w:rPr>
              <w:t>制度执行有效性</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kern w:val="0"/>
                <w:sz w:val="18"/>
                <w:szCs w:val="18"/>
              </w:rPr>
            </w:pPr>
            <w:r>
              <w:rPr>
                <w:rFonts w:ascii="Arial Narrow" w:hAnsi="Arial Narrow" w:cs="楷体" w:hint="eastAsia"/>
                <w:color w:val="000000"/>
                <w:kern w:val="0"/>
                <w:sz w:val="18"/>
                <w:szCs w:val="18"/>
              </w:rPr>
              <w:t>4.00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4.00</w:t>
            </w:r>
          </w:p>
        </w:tc>
      </w:tr>
      <w:tr w:rsidR="00DD719C" w:rsidTr="009B3901">
        <w:trPr>
          <w:trHeight w:val="440"/>
        </w:trPr>
        <w:tc>
          <w:tcPr>
            <w:tcW w:w="3568" w:type="dxa"/>
            <w:shd w:val="clear" w:color="auto" w:fill="auto"/>
            <w:tcMar>
              <w:top w:w="12" w:type="dxa"/>
              <w:left w:w="12" w:type="dxa"/>
              <w:right w:w="12" w:type="dxa"/>
            </w:tcMar>
            <w:vAlign w:val="center"/>
          </w:tcPr>
          <w:p w:rsidR="00DD719C" w:rsidRDefault="00DD719C" w:rsidP="009B3901">
            <w:pPr>
              <w:widowControl/>
              <w:jc w:val="center"/>
              <w:textAlignment w:val="center"/>
              <w:rPr>
                <w:rFonts w:hAnsi="楷体" w:cs="楷体"/>
                <w:color w:val="000000"/>
                <w:szCs w:val="21"/>
              </w:rPr>
            </w:pPr>
            <w:r>
              <w:rPr>
                <w:rFonts w:hAnsi="楷体" w:cs="楷体" w:hint="eastAsia"/>
                <w:color w:val="000000"/>
                <w:kern w:val="0"/>
                <w:szCs w:val="21"/>
              </w:rPr>
              <w:t>合  计</w:t>
            </w:r>
          </w:p>
        </w:tc>
        <w:tc>
          <w:tcPr>
            <w:tcW w:w="2391"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kern w:val="0"/>
                <w:sz w:val="18"/>
                <w:szCs w:val="18"/>
              </w:rPr>
              <w:t>30.00</w:t>
            </w:r>
          </w:p>
        </w:tc>
        <w:tc>
          <w:tcPr>
            <w:tcW w:w="2404" w:type="dxa"/>
            <w:shd w:val="clear" w:color="auto" w:fill="auto"/>
            <w:tcMar>
              <w:top w:w="12" w:type="dxa"/>
              <w:left w:w="12" w:type="dxa"/>
              <w:right w:w="12" w:type="dxa"/>
            </w:tcMar>
            <w:vAlign w:val="center"/>
          </w:tcPr>
          <w:p w:rsidR="00DD719C" w:rsidRDefault="00DD719C"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24.22</w:t>
            </w:r>
          </w:p>
        </w:tc>
      </w:tr>
    </w:tbl>
    <w:p w:rsidR="00DD719C" w:rsidRDefault="00DD719C" w:rsidP="007F4D1A">
      <w:pPr>
        <w:pStyle w:val="3"/>
        <w:spacing w:before="0" w:after="0" w:line="360" w:lineRule="auto"/>
        <w:ind w:firstLineChars="200" w:firstLine="562"/>
        <w:rPr>
          <w:sz w:val="28"/>
          <w:szCs w:val="28"/>
        </w:rPr>
      </w:pPr>
      <w:r>
        <w:rPr>
          <w:rFonts w:hint="eastAsia"/>
          <w:sz w:val="28"/>
          <w:szCs w:val="28"/>
        </w:rPr>
        <w:t>2.2</w:t>
      </w:r>
      <w:r>
        <w:rPr>
          <w:rFonts w:hint="eastAsia"/>
          <w:sz w:val="28"/>
          <w:szCs w:val="28"/>
        </w:rPr>
        <w:t>指标得分说明及绩效分析</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t>2.2.1资金到位率（7分）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实际到位资金与预算资金的比率，用以反映和考核资金落实情况对项目实施的总体保障程度。评价要点：</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资金到位率=（实际到位资金/预算资金）×100%。</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实际到位资金：一定时期（本年度或项目期）内落实到具体项目的资金。</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预算资金：一定时期（本年度或项目期）内预算安排到具体项目的资金。</w:t>
      </w:r>
    </w:p>
    <w:p w:rsidR="00DD719C" w:rsidRDefault="00DD719C" w:rsidP="007F4D1A">
      <w:pPr>
        <w:spacing w:beforeLines="30" w:afterLines="30" w:line="360" w:lineRule="auto"/>
        <w:ind w:firstLineChars="200" w:firstLine="562"/>
        <w:rPr>
          <w:rFonts w:hAnsi="楷体" w:cs="楷体"/>
          <w:sz w:val="28"/>
          <w:szCs w:val="28"/>
        </w:rPr>
      </w:pPr>
      <w:r>
        <w:rPr>
          <w:rFonts w:hAnsi="楷体" w:cs="楷体" w:hint="eastAsia"/>
          <w:b/>
          <w:sz w:val="28"/>
          <w:szCs w:val="28"/>
        </w:rPr>
        <w:t>评分标准：</w:t>
      </w:r>
      <w:r>
        <w:rPr>
          <w:rFonts w:hAnsi="楷体" w:cs="楷体" w:hint="eastAsia"/>
          <w:bCs/>
          <w:sz w:val="28"/>
          <w:szCs w:val="28"/>
        </w:rPr>
        <w:t>及时到位（7分），未及时到位但未影响项目进度（4分），否则（0分）</w:t>
      </w:r>
      <w:r>
        <w:rPr>
          <w:rFonts w:hAnsi="楷体" w:cs="楷体" w:hint="eastAsia"/>
          <w:sz w:val="28"/>
          <w:szCs w:val="28"/>
        </w:rPr>
        <w:t>。</w:t>
      </w:r>
    </w:p>
    <w:p w:rsidR="00DD719C" w:rsidRDefault="00DD719C" w:rsidP="007F4D1A">
      <w:pPr>
        <w:spacing w:beforeLines="30" w:afterLines="30" w:line="360" w:lineRule="auto"/>
        <w:ind w:firstLineChars="200" w:firstLine="562"/>
        <w:rPr>
          <w:rFonts w:hAnsi="楷体" w:cs="楷体"/>
          <w:sz w:val="28"/>
          <w:szCs w:val="28"/>
        </w:rPr>
      </w:pPr>
      <w:r>
        <w:rPr>
          <w:rFonts w:hAnsi="楷体" w:cs="楷体" w:hint="eastAsia"/>
          <w:b/>
          <w:sz w:val="28"/>
          <w:szCs w:val="28"/>
        </w:rPr>
        <w:t>评价分析</w:t>
      </w:r>
      <w:r>
        <w:rPr>
          <w:rFonts w:hAnsi="楷体" w:cs="楷体" w:hint="eastAsia"/>
          <w:sz w:val="28"/>
          <w:szCs w:val="28"/>
        </w:rPr>
        <w:t>：截至2022年12月31日，该公诉及检察监督项目625</w:t>
      </w:r>
      <w:r>
        <w:rPr>
          <w:rFonts w:hAnsi="楷体" w:cs="楷体" w:hint="eastAsia"/>
          <w:sz w:val="28"/>
          <w:szCs w:val="28"/>
        </w:rPr>
        <w:lastRenderedPageBreak/>
        <w:t>万元资金指标已全部下达海南省人民检察院，指标文号为琼财预〔2022〕29号、琼财预〔2022〕464号，资金到位率100%。</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7</w:t>
      </w:r>
      <w:r>
        <w:rPr>
          <w:rFonts w:hAnsi="楷体" w:cs="楷体"/>
          <w:sz w:val="28"/>
          <w:szCs w:val="28"/>
        </w:rPr>
        <w:t>分。</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t>2.2.2预算执行率（9分）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项目预算资金是否按照计划执行，用以反映或考核项目预算执行情况。评价要点：</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预算执行率=（实际支出资金/实际到位资金）×100%。</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实际支出资金：一定时期（本年度或项目期）内项目实际拨付的资金。</w:t>
      </w:r>
    </w:p>
    <w:p w:rsidR="00DD719C" w:rsidRDefault="00DD719C" w:rsidP="007F4D1A">
      <w:pPr>
        <w:spacing w:beforeLines="30" w:afterLines="30" w:line="360" w:lineRule="auto"/>
        <w:ind w:firstLineChars="200" w:firstLine="562"/>
        <w:rPr>
          <w:rFonts w:hAnsi="楷体" w:cs="楷体"/>
          <w:b/>
          <w:sz w:val="28"/>
          <w:szCs w:val="28"/>
        </w:rPr>
      </w:pPr>
      <w:r>
        <w:rPr>
          <w:rFonts w:hAnsi="楷体" w:cs="楷体" w:hint="eastAsia"/>
          <w:b/>
          <w:sz w:val="28"/>
          <w:szCs w:val="28"/>
        </w:rPr>
        <w:t>评分标准：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①当年度支付进度率大于等于100%时，年度支付进度率得分为9分；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②当年度支付进度率小于等于80%时，年度支付进度率得分为0分；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③当年度支付进度率大于80%且小于100%时，年度支付进度率得分=（年度支付进度率-80%）/（100%-80%）×9分。</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评价分析</w:t>
      </w:r>
      <w:r>
        <w:rPr>
          <w:rFonts w:hAnsi="楷体" w:cs="楷体" w:hint="eastAsia"/>
          <w:sz w:val="28"/>
          <w:szCs w:val="28"/>
        </w:rPr>
        <w:t>：截至2022年12月31日，海南省财政厅共计下达公诉及检察监督项目625万元，根据资金统筹安排财政收回资金后实际全年预算数为519.6万元，公诉及检察监督项目共计支付452.82万元，支付率为452.82万元/519.6万元*100%=87.15%。</w:t>
      </w:r>
    </w:p>
    <w:p w:rsidR="00DD719C" w:rsidRDefault="00DD719C" w:rsidP="007F4D1A">
      <w:pPr>
        <w:spacing w:line="360" w:lineRule="auto"/>
        <w:ind w:firstLineChars="200" w:firstLine="562"/>
        <w:rPr>
          <w:rFonts w:hAnsi="楷体" w:cs="楷体"/>
          <w:sz w:val="28"/>
          <w:szCs w:val="28"/>
          <w:highlight w:val="yellow"/>
        </w:rPr>
      </w:pPr>
      <w:r>
        <w:rPr>
          <w:rFonts w:hAnsi="楷体" w:cs="楷体" w:hint="eastAsia"/>
          <w:b/>
          <w:sz w:val="28"/>
          <w:szCs w:val="28"/>
        </w:rPr>
        <w:t>评价得分：</w:t>
      </w:r>
      <w:r>
        <w:rPr>
          <w:rFonts w:hAnsi="楷体" w:cs="楷体"/>
          <w:sz w:val="28"/>
          <w:szCs w:val="28"/>
        </w:rPr>
        <w:t>经评价分析，该指标综合得分</w:t>
      </w:r>
      <w:r>
        <w:rPr>
          <w:rFonts w:hAnsi="楷体" w:cs="楷体" w:hint="eastAsia"/>
          <w:sz w:val="28"/>
          <w:szCs w:val="28"/>
        </w:rPr>
        <w:t>为3.22</w:t>
      </w:r>
      <w:r>
        <w:rPr>
          <w:rFonts w:hAnsi="楷体" w:cs="楷体"/>
          <w:sz w:val="28"/>
          <w:szCs w:val="28"/>
        </w:rPr>
        <w:t>分。</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lastRenderedPageBreak/>
        <w:t>2.2.3资金使用合规性（8分）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资金使用是否符合相关的财务管理制度规定，用以反映和考核项目资金的规范运行情况。评价要点：</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（1）是否符合国家财经法规和财务管理制度以及有关专项资金管理办法的规定；</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（2）资金的拨付是否有完整的审批程序和手续；</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（3）是否符合项目预算批复或合同规定的用途；</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（4）是否存在截留、挤占、挪用、虚列支出等情况；</w:t>
      </w:r>
    </w:p>
    <w:p w:rsidR="00DD719C" w:rsidRDefault="00DD719C" w:rsidP="007F4D1A">
      <w:pPr>
        <w:spacing w:beforeLines="30" w:afterLines="30" w:line="360" w:lineRule="auto"/>
        <w:ind w:firstLineChars="200" w:firstLine="562"/>
        <w:rPr>
          <w:rFonts w:hAnsi="楷体" w:cs="楷体"/>
          <w:bCs/>
          <w:sz w:val="28"/>
          <w:szCs w:val="28"/>
        </w:rPr>
      </w:pPr>
      <w:r>
        <w:rPr>
          <w:rFonts w:hAnsi="楷体" w:cs="楷体" w:hint="eastAsia"/>
          <w:b/>
          <w:sz w:val="28"/>
          <w:szCs w:val="28"/>
        </w:rPr>
        <w:t>评分标准：</w:t>
      </w:r>
      <w:r>
        <w:rPr>
          <w:rFonts w:hAnsi="楷体" w:cs="楷体" w:hint="eastAsia"/>
          <w:bCs/>
          <w:sz w:val="28"/>
          <w:szCs w:val="28"/>
        </w:rPr>
        <w:t>符合其中1项得2分。</w:t>
      </w:r>
    </w:p>
    <w:p w:rsidR="00DD719C" w:rsidRDefault="00DD719C" w:rsidP="007F4D1A">
      <w:pPr>
        <w:spacing w:beforeLines="20" w:afterLines="20" w:line="360" w:lineRule="auto"/>
        <w:ind w:firstLineChars="200" w:firstLine="562"/>
        <w:jc w:val="left"/>
        <w:rPr>
          <w:kern w:val="0"/>
          <w:sz w:val="28"/>
          <w:szCs w:val="28"/>
          <w:highlight w:val="yellow"/>
        </w:rPr>
      </w:pPr>
      <w:r>
        <w:rPr>
          <w:rFonts w:hAnsi="楷体" w:cs="楷体" w:hint="eastAsia"/>
          <w:b/>
          <w:sz w:val="28"/>
          <w:szCs w:val="28"/>
        </w:rPr>
        <w:t>评价分析</w:t>
      </w:r>
      <w:r>
        <w:rPr>
          <w:rFonts w:hAnsi="楷体" w:cs="楷体" w:hint="eastAsia"/>
          <w:sz w:val="28"/>
          <w:szCs w:val="28"/>
        </w:rPr>
        <w:t>：经检查海南省人民检察院的财务资料，资金拨付有完整的审批程序和手续，未存在截留、挤占、挪用、虚列支出等情况。</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8</w:t>
      </w:r>
      <w:r>
        <w:rPr>
          <w:rFonts w:hAnsi="楷体" w:cs="楷体"/>
          <w:sz w:val="28"/>
          <w:szCs w:val="28"/>
        </w:rPr>
        <w:t>分。</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t>2.2.4管理制度健全性（2分）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项目实施单位的财务和业务管理制度是否健全，用以反映和考核财务和业务管理制度对项目实施的保障情况。评价要点：</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（1）是否已制定或具有相应的财务和业务管理制度；</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（2）财务和业务管理制度是否合法、合规、完整。</w:t>
      </w:r>
    </w:p>
    <w:p w:rsidR="00DD719C" w:rsidRDefault="00DD719C" w:rsidP="007F4D1A">
      <w:pPr>
        <w:spacing w:beforeLines="30" w:afterLines="30" w:line="360" w:lineRule="auto"/>
        <w:ind w:firstLineChars="200" w:firstLine="562"/>
        <w:rPr>
          <w:rFonts w:hAnsi="楷体" w:cs="楷体"/>
          <w:sz w:val="28"/>
          <w:szCs w:val="28"/>
        </w:rPr>
      </w:pPr>
      <w:r>
        <w:rPr>
          <w:rFonts w:hAnsi="楷体" w:cs="楷体" w:hint="eastAsia"/>
          <w:b/>
          <w:sz w:val="28"/>
          <w:szCs w:val="28"/>
        </w:rPr>
        <w:t>评分标准：</w:t>
      </w:r>
      <w:r>
        <w:rPr>
          <w:rFonts w:hAnsi="楷体" w:cs="楷体" w:hint="eastAsia"/>
          <w:sz w:val="28"/>
          <w:szCs w:val="28"/>
        </w:rPr>
        <w:t>符合其中1项得1分。</w:t>
      </w:r>
    </w:p>
    <w:p w:rsidR="00DD719C" w:rsidRDefault="00DD719C" w:rsidP="007F4D1A">
      <w:pPr>
        <w:spacing w:beforeLines="30" w:afterLines="30" w:line="360" w:lineRule="auto"/>
        <w:ind w:firstLineChars="200" w:firstLine="562"/>
        <w:rPr>
          <w:rFonts w:hAnsi="楷体" w:cs="楷体"/>
          <w:sz w:val="28"/>
          <w:szCs w:val="28"/>
        </w:rPr>
      </w:pPr>
      <w:r>
        <w:rPr>
          <w:rFonts w:hAnsi="楷体" w:cs="楷体" w:hint="eastAsia"/>
          <w:b/>
          <w:sz w:val="28"/>
          <w:szCs w:val="28"/>
        </w:rPr>
        <w:t>评价分析</w:t>
      </w:r>
      <w:r>
        <w:rPr>
          <w:rFonts w:hAnsi="楷体" w:cs="楷体" w:hint="eastAsia"/>
          <w:sz w:val="28"/>
          <w:szCs w:val="28"/>
        </w:rPr>
        <w:t>：检查发现，针对该公诉及检察监督等项目，海南省人民检察院印发了《海南省人民检察院办案费管理办法》等管理制度，</w:t>
      </w:r>
      <w:r>
        <w:rPr>
          <w:rFonts w:hAnsi="楷体" w:cs="楷体" w:hint="eastAsia"/>
          <w:sz w:val="28"/>
          <w:szCs w:val="28"/>
        </w:rPr>
        <w:lastRenderedPageBreak/>
        <w:t>且制定的相关制度不违反法律法规。</w:t>
      </w:r>
    </w:p>
    <w:p w:rsid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int="eastAsia"/>
          <w:kern w:val="0"/>
          <w:sz w:val="28"/>
          <w:szCs w:val="28"/>
        </w:rPr>
        <w:t>2</w:t>
      </w:r>
      <w:r>
        <w:rPr>
          <w:rFonts w:hAnsi="楷体" w:cs="楷体"/>
          <w:sz w:val="28"/>
          <w:szCs w:val="28"/>
        </w:rPr>
        <w:t>分。</w:t>
      </w:r>
    </w:p>
    <w:p w:rsidR="00DD719C" w:rsidRDefault="00DD719C" w:rsidP="007F4D1A">
      <w:pPr>
        <w:pStyle w:val="4"/>
        <w:spacing w:before="0" w:after="0" w:line="360" w:lineRule="auto"/>
        <w:ind w:firstLineChars="200" w:firstLine="562"/>
        <w:rPr>
          <w:rFonts w:ascii="仿宋_GB2312" w:eastAsia="仿宋_GB2312"/>
        </w:rPr>
      </w:pPr>
      <w:r>
        <w:rPr>
          <w:rFonts w:ascii="仿宋_GB2312" w:eastAsia="仿宋_GB2312" w:hint="eastAsia"/>
        </w:rPr>
        <w:t>2.2.5制度执行有效性（4分）</w:t>
      </w:r>
    </w:p>
    <w:p w:rsidR="00DD719C" w:rsidRDefault="00DD719C" w:rsidP="00DD719C">
      <w:pPr>
        <w:spacing w:line="360" w:lineRule="auto"/>
        <w:ind w:firstLineChars="200" w:firstLine="560"/>
        <w:rPr>
          <w:rFonts w:hAnsi="楷体" w:cs="楷体"/>
          <w:sz w:val="28"/>
          <w:szCs w:val="28"/>
        </w:rPr>
      </w:pPr>
      <w:r>
        <w:rPr>
          <w:rFonts w:hAnsi="楷体" w:cs="楷体" w:hint="eastAsia"/>
          <w:sz w:val="28"/>
          <w:szCs w:val="28"/>
        </w:rPr>
        <w:t>项目实施是否符合相关管理规定，用以反映和考核相关管理制度的有效执行情况。评价要点：</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（1）是否遵守相关法律法规和相关管理规定；</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（2）项目调整及支出调整手续是否完备；</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（3）项目合同书、验收报告、技术鉴定等资料是否齐全并及时归档；</w:t>
      </w:r>
    </w:p>
    <w:p w:rsidR="00DD719C" w:rsidRDefault="00DD719C" w:rsidP="007F4D1A">
      <w:pPr>
        <w:spacing w:beforeLines="30" w:afterLines="30" w:line="360" w:lineRule="auto"/>
        <w:ind w:firstLineChars="200" w:firstLine="560"/>
        <w:rPr>
          <w:rFonts w:hAnsi="楷体" w:cs="楷体"/>
          <w:sz w:val="28"/>
          <w:szCs w:val="28"/>
        </w:rPr>
      </w:pPr>
      <w:r>
        <w:rPr>
          <w:rFonts w:hAnsi="楷体" w:cs="楷体" w:hint="eastAsia"/>
          <w:sz w:val="28"/>
          <w:szCs w:val="28"/>
        </w:rPr>
        <w:t>（4）项目实施的人员条件、场地设备、信息支撑等是否落实到位。</w:t>
      </w:r>
    </w:p>
    <w:p w:rsidR="00DD719C" w:rsidRDefault="00DD719C" w:rsidP="007F4D1A">
      <w:pPr>
        <w:spacing w:beforeLines="30" w:afterLines="30" w:line="360" w:lineRule="auto"/>
        <w:ind w:firstLineChars="200" w:firstLine="562"/>
        <w:rPr>
          <w:rFonts w:hAnsi="Cambria"/>
          <w:b/>
          <w:bCs/>
          <w:sz w:val="28"/>
          <w:szCs w:val="28"/>
        </w:rPr>
      </w:pPr>
      <w:r>
        <w:rPr>
          <w:rFonts w:hAnsi="Cambria" w:hint="eastAsia"/>
          <w:b/>
          <w:bCs/>
          <w:sz w:val="28"/>
          <w:szCs w:val="28"/>
        </w:rPr>
        <w:t>评分标准：</w:t>
      </w:r>
      <w:r>
        <w:rPr>
          <w:rFonts w:hAnsi="楷体" w:cs="楷体" w:hint="eastAsia"/>
          <w:sz w:val="28"/>
          <w:szCs w:val="28"/>
        </w:rPr>
        <w:t>符合其中1项得1分。</w:t>
      </w:r>
    </w:p>
    <w:p w:rsidR="00DD719C" w:rsidRDefault="00DD719C" w:rsidP="007F4D1A">
      <w:pPr>
        <w:spacing w:line="360" w:lineRule="auto"/>
        <w:ind w:firstLineChars="200" w:firstLine="562"/>
        <w:rPr>
          <w:rFonts w:hAnsi="仿宋_GB2312" w:cs="仿宋_GB2312"/>
          <w:sz w:val="28"/>
          <w:szCs w:val="28"/>
        </w:rPr>
      </w:pPr>
      <w:r>
        <w:rPr>
          <w:rFonts w:hAnsi="Cambria" w:hint="eastAsia"/>
          <w:b/>
          <w:bCs/>
          <w:sz w:val="28"/>
          <w:szCs w:val="28"/>
        </w:rPr>
        <w:t>评价分析：</w:t>
      </w:r>
      <w:r>
        <w:rPr>
          <w:rFonts w:hAnsi="仿宋_GB2312" w:cs="仿宋_GB2312" w:hint="eastAsia"/>
          <w:sz w:val="28"/>
          <w:szCs w:val="28"/>
        </w:rPr>
        <w:t>根据</w:t>
      </w:r>
      <w:r>
        <w:rPr>
          <w:rFonts w:hAnsi="楷体" w:cs="楷体" w:hint="eastAsia"/>
          <w:sz w:val="28"/>
          <w:szCs w:val="28"/>
        </w:rPr>
        <w:t>海南省人民检察院《内部控制手册》、</w:t>
      </w:r>
      <w:r>
        <w:rPr>
          <w:rFonts w:hAnsi="仿宋_GB2312" w:cs="仿宋_GB2312" w:hint="eastAsia"/>
          <w:sz w:val="28"/>
          <w:szCs w:val="28"/>
        </w:rPr>
        <w:t>《</w:t>
      </w:r>
      <w:r>
        <w:rPr>
          <w:rFonts w:hAnsi="楷体" w:cs="楷体" w:hint="eastAsia"/>
          <w:sz w:val="28"/>
          <w:szCs w:val="28"/>
        </w:rPr>
        <w:t>海南省人民检察院办案费管理办法</w:t>
      </w:r>
      <w:r>
        <w:rPr>
          <w:rFonts w:hAnsi="仿宋_GB2312" w:cs="仿宋_GB2312" w:hint="eastAsia"/>
          <w:sz w:val="28"/>
          <w:szCs w:val="28"/>
        </w:rPr>
        <w:t>》，经查看</w:t>
      </w:r>
      <w:r>
        <w:rPr>
          <w:rFonts w:hAnsi="楷体" w:cs="楷体" w:hint="eastAsia"/>
          <w:sz w:val="28"/>
          <w:szCs w:val="28"/>
        </w:rPr>
        <w:t>海南省人民检察院办案费管理办法</w:t>
      </w:r>
      <w:r>
        <w:rPr>
          <w:rFonts w:hAnsi="仿宋_GB2312" w:cs="仿宋_GB2312" w:hint="eastAsia"/>
          <w:sz w:val="28"/>
          <w:szCs w:val="28"/>
        </w:rPr>
        <w:t>相关拨付凭证，</w:t>
      </w:r>
      <w:r>
        <w:rPr>
          <w:rFonts w:hAnsi="楷体" w:cs="楷体" w:hint="eastAsia"/>
          <w:sz w:val="28"/>
          <w:szCs w:val="28"/>
        </w:rPr>
        <w:t>海南省人民检察院</w:t>
      </w:r>
      <w:r>
        <w:rPr>
          <w:rFonts w:hAnsi="仿宋_GB2312" w:cs="仿宋_GB2312" w:hint="eastAsia"/>
          <w:sz w:val="28"/>
          <w:szCs w:val="28"/>
        </w:rPr>
        <w:t>已按照相关管理制度执行。</w:t>
      </w:r>
    </w:p>
    <w:p w:rsidR="00DD719C" w:rsidRPr="00DD719C" w:rsidRDefault="00DD719C"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4</w:t>
      </w:r>
      <w:r>
        <w:rPr>
          <w:rFonts w:hAnsi="楷体" w:cs="楷体"/>
          <w:sz w:val="28"/>
          <w:szCs w:val="28"/>
        </w:rPr>
        <w:t>分。</w:t>
      </w:r>
    </w:p>
    <w:p w:rsidR="00116E1F" w:rsidRDefault="00116E1F" w:rsidP="00116E1F">
      <w:pPr>
        <w:spacing w:line="552" w:lineRule="exact"/>
        <w:ind w:firstLineChars="200" w:firstLine="640"/>
        <w:outlineLvl w:val="0"/>
        <w:rPr>
          <w:rFonts w:hAnsi="仿宋"/>
          <w:szCs w:val="32"/>
        </w:rPr>
      </w:pPr>
      <w:r w:rsidRPr="00FD235A">
        <w:rPr>
          <w:rFonts w:hAnsi="仿宋" w:hint="eastAsia"/>
          <w:szCs w:val="32"/>
        </w:rPr>
        <w:t>（三）项目产出情况。</w:t>
      </w:r>
    </w:p>
    <w:p w:rsidR="00CB089D" w:rsidRDefault="00CB089D" w:rsidP="007F4D1A">
      <w:pPr>
        <w:pStyle w:val="3"/>
        <w:spacing w:before="0" w:after="0" w:line="360" w:lineRule="auto"/>
        <w:ind w:firstLineChars="200" w:firstLine="562"/>
        <w:rPr>
          <w:sz w:val="28"/>
          <w:szCs w:val="28"/>
        </w:rPr>
      </w:pPr>
      <w:r>
        <w:rPr>
          <w:rFonts w:hint="eastAsia"/>
          <w:sz w:val="28"/>
          <w:szCs w:val="28"/>
        </w:rPr>
        <w:t>3.1</w:t>
      </w:r>
      <w:r>
        <w:rPr>
          <w:rFonts w:hint="eastAsia"/>
          <w:sz w:val="28"/>
          <w:szCs w:val="28"/>
        </w:rPr>
        <w:t>指标得分计算情况</w:t>
      </w:r>
    </w:p>
    <w:tbl>
      <w:tblPr>
        <w:tblW w:w="8221" w:type="dxa"/>
        <w:tblInd w:w="392" w:type="dxa"/>
        <w:tblBorders>
          <w:top w:val="single" w:sz="4" w:space="0" w:color="auto"/>
          <w:bottom w:val="single" w:sz="4" w:space="0" w:color="auto"/>
          <w:insideH w:val="dotted" w:sz="4" w:space="0" w:color="auto"/>
          <w:insideV w:val="dotted" w:sz="4" w:space="0" w:color="auto"/>
        </w:tblBorders>
        <w:tblLayout w:type="fixed"/>
        <w:tblLook w:val="04A0"/>
      </w:tblPr>
      <w:tblGrid>
        <w:gridCol w:w="1182"/>
        <w:gridCol w:w="2590"/>
        <w:gridCol w:w="2250"/>
        <w:gridCol w:w="2199"/>
      </w:tblGrid>
      <w:tr w:rsidR="00CB089D" w:rsidTr="009B3901">
        <w:trPr>
          <w:trHeight w:val="450"/>
        </w:trPr>
        <w:tc>
          <w:tcPr>
            <w:tcW w:w="1182"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t>评价准则</w:t>
            </w:r>
          </w:p>
        </w:tc>
        <w:tc>
          <w:tcPr>
            <w:tcW w:w="2590"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t>评价指标</w:t>
            </w:r>
          </w:p>
        </w:tc>
        <w:tc>
          <w:tcPr>
            <w:tcW w:w="2250" w:type="dxa"/>
            <w:shd w:val="clear" w:color="auto" w:fill="auto"/>
            <w:vAlign w:val="center"/>
          </w:tcPr>
          <w:p w:rsidR="00CB089D" w:rsidRDefault="00CB089D" w:rsidP="009B3901">
            <w:pPr>
              <w:widowControl/>
              <w:jc w:val="right"/>
              <w:rPr>
                <w:rFonts w:hAnsi="宋体" w:cs="Arial"/>
                <w:kern w:val="0"/>
                <w:szCs w:val="21"/>
              </w:rPr>
            </w:pPr>
            <w:r>
              <w:rPr>
                <w:rFonts w:hAnsi="宋体" w:cs="Arial" w:hint="eastAsia"/>
                <w:kern w:val="0"/>
                <w:szCs w:val="21"/>
              </w:rPr>
              <w:t>分值</w:t>
            </w:r>
          </w:p>
        </w:tc>
        <w:tc>
          <w:tcPr>
            <w:tcW w:w="2199" w:type="dxa"/>
            <w:shd w:val="clear" w:color="auto" w:fill="auto"/>
            <w:vAlign w:val="center"/>
          </w:tcPr>
          <w:p w:rsidR="00CB089D" w:rsidRDefault="00CB089D" w:rsidP="009B3901">
            <w:pPr>
              <w:widowControl/>
              <w:jc w:val="right"/>
              <w:rPr>
                <w:rFonts w:hAnsi="宋体" w:cs="Arial"/>
                <w:kern w:val="0"/>
                <w:szCs w:val="21"/>
              </w:rPr>
            </w:pPr>
            <w:r>
              <w:rPr>
                <w:rFonts w:hAnsi="宋体" w:cs="Arial" w:hint="eastAsia"/>
                <w:kern w:val="0"/>
                <w:szCs w:val="21"/>
              </w:rPr>
              <w:t>得分</w:t>
            </w:r>
          </w:p>
        </w:tc>
      </w:tr>
      <w:tr w:rsidR="00CB089D" w:rsidTr="009B3901">
        <w:trPr>
          <w:trHeight w:val="450"/>
        </w:trPr>
        <w:tc>
          <w:tcPr>
            <w:tcW w:w="1182"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t>产出数</w:t>
            </w:r>
            <w:r>
              <w:rPr>
                <w:rFonts w:hAnsi="宋体" w:cs="Arial" w:hint="eastAsia"/>
                <w:kern w:val="0"/>
                <w:szCs w:val="21"/>
              </w:rPr>
              <w:lastRenderedPageBreak/>
              <w:t>量</w:t>
            </w:r>
          </w:p>
        </w:tc>
        <w:tc>
          <w:tcPr>
            <w:tcW w:w="2590"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lastRenderedPageBreak/>
              <w:t>实际完成率</w:t>
            </w:r>
          </w:p>
        </w:tc>
        <w:tc>
          <w:tcPr>
            <w:tcW w:w="2250"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12.00</w:t>
            </w:r>
          </w:p>
        </w:tc>
        <w:tc>
          <w:tcPr>
            <w:tcW w:w="2199"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12.00</w:t>
            </w:r>
          </w:p>
        </w:tc>
      </w:tr>
      <w:tr w:rsidR="00CB089D" w:rsidTr="009B3901">
        <w:trPr>
          <w:trHeight w:val="450"/>
        </w:trPr>
        <w:tc>
          <w:tcPr>
            <w:tcW w:w="1182"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lastRenderedPageBreak/>
              <w:t>产出质量</w:t>
            </w:r>
          </w:p>
        </w:tc>
        <w:tc>
          <w:tcPr>
            <w:tcW w:w="2590"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t>质量达标率</w:t>
            </w:r>
          </w:p>
        </w:tc>
        <w:tc>
          <w:tcPr>
            <w:tcW w:w="2250"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6.00</w:t>
            </w:r>
          </w:p>
        </w:tc>
        <w:tc>
          <w:tcPr>
            <w:tcW w:w="2199"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6.00</w:t>
            </w:r>
          </w:p>
        </w:tc>
      </w:tr>
      <w:tr w:rsidR="00CB089D" w:rsidTr="009B3901">
        <w:trPr>
          <w:trHeight w:val="450"/>
        </w:trPr>
        <w:tc>
          <w:tcPr>
            <w:tcW w:w="1182"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t>产出时效</w:t>
            </w:r>
          </w:p>
        </w:tc>
        <w:tc>
          <w:tcPr>
            <w:tcW w:w="2590"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t>完成及时性</w:t>
            </w:r>
          </w:p>
        </w:tc>
        <w:tc>
          <w:tcPr>
            <w:tcW w:w="2250"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10.00</w:t>
            </w:r>
          </w:p>
        </w:tc>
        <w:tc>
          <w:tcPr>
            <w:tcW w:w="2199"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10.00</w:t>
            </w:r>
          </w:p>
        </w:tc>
      </w:tr>
      <w:tr w:rsidR="00CB089D" w:rsidTr="009B3901">
        <w:trPr>
          <w:trHeight w:val="450"/>
        </w:trPr>
        <w:tc>
          <w:tcPr>
            <w:tcW w:w="1182"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t>产出成本</w:t>
            </w:r>
          </w:p>
        </w:tc>
        <w:tc>
          <w:tcPr>
            <w:tcW w:w="2590" w:type="dxa"/>
            <w:shd w:val="clear" w:color="auto" w:fill="auto"/>
            <w:vAlign w:val="center"/>
          </w:tcPr>
          <w:p w:rsidR="00CB089D" w:rsidRDefault="00CB089D" w:rsidP="009B3901">
            <w:pPr>
              <w:widowControl/>
              <w:jc w:val="center"/>
              <w:rPr>
                <w:rFonts w:hAnsi="宋体" w:cs="Arial"/>
                <w:kern w:val="0"/>
                <w:szCs w:val="21"/>
              </w:rPr>
            </w:pPr>
            <w:r>
              <w:rPr>
                <w:rFonts w:hAnsi="宋体" w:cs="Arial" w:hint="eastAsia"/>
                <w:kern w:val="0"/>
                <w:szCs w:val="21"/>
              </w:rPr>
              <w:t>成本节约率</w:t>
            </w:r>
          </w:p>
        </w:tc>
        <w:tc>
          <w:tcPr>
            <w:tcW w:w="2250"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6.00</w:t>
            </w:r>
          </w:p>
        </w:tc>
        <w:tc>
          <w:tcPr>
            <w:tcW w:w="2199"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6.00</w:t>
            </w:r>
          </w:p>
        </w:tc>
      </w:tr>
      <w:tr w:rsidR="00CB089D" w:rsidTr="009B3901">
        <w:trPr>
          <w:trHeight w:val="450"/>
        </w:trPr>
        <w:tc>
          <w:tcPr>
            <w:tcW w:w="3772" w:type="dxa"/>
            <w:gridSpan w:val="2"/>
            <w:shd w:val="clear" w:color="auto" w:fill="auto"/>
            <w:vAlign w:val="center"/>
          </w:tcPr>
          <w:p w:rsidR="00CB089D" w:rsidRDefault="00CB089D" w:rsidP="00CB089D">
            <w:pPr>
              <w:widowControl/>
              <w:ind w:firstLineChars="1100" w:firstLine="3520"/>
              <w:jc w:val="left"/>
              <w:rPr>
                <w:rFonts w:hAnsi="宋体" w:cs="Arial"/>
                <w:kern w:val="0"/>
                <w:szCs w:val="21"/>
              </w:rPr>
            </w:pPr>
            <w:r>
              <w:rPr>
                <w:rFonts w:hAnsi="宋体" w:cs="Arial" w:hint="eastAsia"/>
                <w:kern w:val="0"/>
                <w:szCs w:val="21"/>
              </w:rPr>
              <w:t>合计</w:t>
            </w:r>
          </w:p>
        </w:tc>
        <w:tc>
          <w:tcPr>
            <w:tcW w:w="2250"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34.00</w:t>
            </w:r>
          </w:p>
        </w:tc>
        <w:tc>
          <w:tcPr>
            <w:tcW w:w="2199" w:type="dxa"/>
            <w:shd w:val="clear" w:color="auto" w:fill="auto"/>
            <w:vAlign w:val="center"/>
          </w:tcPr>
          <w:p w:rsidR="00CB089D" w:rsidRDefault="00CB089D" w:rsidP="009B3901">
            <w:pPr>
              <w:widowControl/>
              <w:jc w:val="right"/>
              <w:rPr>
                <w:rFonts w:ascii="Arial Narrow" w:hAnsi="Arial Narrow" w:cs="Arial"/>
                <w:kern w:val="0"/>
                <w:sz w:val="18"/>
                <w:szCs w:val="18"/>
              </w:rPr>
            </w:pPr>
            <w:r>
              <w:rPr>
                <w:rFonts w:ascii="Arial Narrow" w:hAnsi="Arial Narrow" w:cs="Arial" w:hint="eastAsia"/>
                <w:kern w:val="0"/>
                <w:sz w:val="18"/>
                <w:szCs w:val="18"/>
              </w:rPr>
              <w:t>34.00</w:t>
            </w:r>
          </w:p>
        </w:tc>
      </w:tr>
    </w:tbl>
    <w:p w:rsidR="00CB089D" w:rsidRDefault="00CB089D" w:rsidP="007F4D1A">
      <w:pPr>
        <w:pStyle w:val="3"/>
        <w:spacing w:before="0" w:after="0" w:line="360" w:lineRule="auto"/>
        <w:ind w:firstLineChars="200" w:firstLine="562"/>
        <w:rPr>
          <w:sz w:val="28"/>
          <w:szCs w:val="28"/>
        </w:rPr>
      </w:pPr>
      <w:r>
        <w:rPr>
          <w:rFonts w:hAnsi="楷体" w:cs="楷体" w:hint="eastAsia"/>
          <w:sz w:val="28"/>
          <w:szCs w:val="28"/>
        </w:rPr>
        <w:t>3.2</w:t>
      </w:r>
      <w:r>
        <w:rPr>
          <w:rFonts w:hint="eastAsia"/>
          <w:sz w:val="28"/>
          <w:szCs w:val="28"/>
        </w:rPr>
        <w:t>指标得分说明及绩效分析</w:t>
      </w:r>
    </w:p>
    <w:p w:rsidR="00CB089D" w:rsidRDefault="00CB089D" w:rsidP="007F4D1A">
      <w:pPr>
        <w:pStyle w:val="4"/>
        <w:spacing w:before="0" w:after="0" w:line="360" w:lineRule="auto"/>
        <w:ind w:firstLineChars="200" w:firstLine="562"/>
        <w:rPr>
          <w:rFonts w:ascii="仿宋_GB2312" w:eastAsia="仿宋_GB2312"/>
        </w:rPr>
      </w:pPr>
      <w:r>
        <w:rPr>
          <w:rFonts w:ascii="仿宋_GB2312" w:eastAsia="仿宋_GB2312" w:hint="eastAsia"/>
        </w:rPr>
        <w:t>3.2.1产出数量完成率（12分）</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项目实施的实际产出数与计划产出数的比率，用以反映和考核项目产出数量目标的实现程度。评价要点：</w:t>
      </w:r>
    </w:p>
    <w:p w:rsidR="00CB089D" w:rsidRDefault="00CB089D" w:rsidP="007F4D1A">
      <w:pPr>
        <w:spacing w:beforeLines="30" w:afterLines="30" w:line="360" w:lineRule="auto"/>
        <w:ind w:firstLineChars="200" w:firstLine="560"/>
        <w:rPr>
          <w:rFonts w:hAnsi="楷体" w:cs="楷体"/>
          <w:sz w:val="28"/>
          <w:szCs w:val="28"/>
        </w:rPr>
      </w:pPr>
      <w:r>
        <w:rPr>
          <w:rFonts w:hAnsi="楷体" w:cs="楷体" w:hint="eastAsia"/>
          <w:sz w:val="28"/>
          <w:szCs w:val="28"/>
        </w:rPr>
        <w:t>实际完成率=（实际产出数/计划产出数）×100%。</w:t>
      </w:r>
    </w:p>
    <w:p w:rsidR="00CB089D" w:rsidRDefault="00CB089D" w:rsidP="007F4D1A">
      <w:pPr>
        <w:spacing w:beforeLines="30" w:afterLines="30" w:line="360" w:lineRule="auto"/>
        <w:ind w:firstLineChars="200" w:firstLine="560"/>
        <w:rPr>
          <w:rFonts w:hAnsi="楷体" w:cs="楷体"/>
          <w:sz w:val="28"/>
          <w:szCs w:val="28"/>
        </w:rPr>
      </w:pPr>
      <w:r>
        <w:rPr>
          <w:rFonts w:hAnsi="楷体" w:cs="楷体" w:hint="eastAsia"/>
          <w:sz w:val="28"/>
          <w:szCs w:val="28"/>
        </w:rPr>
        <w:t>实际产出数：一定时期（本年度或项目期）内项目实际产出的产品或提供的服务数量。</w:t>
      </w:r>
    </w:p>
    <w:p w:rsidR="00CB089D" w:rsidRDefault="00CB089D" w:rsidP="007F4D1A">
      <w:pPr>
        <w:spacing w:beforeLines="30" w:afterLines="30" w:line="360" w:lineRule="auto"/>
        <w:ind w:firstLineChars="200" w:firstLine="560"/>
        <w:rPr>
          <w:rFonts w:hAnsi="楷体" w:cs="楷体"/>
          <w:sz w:val="28"/>
          <w:szCs w:val="28"/>
        </w:rPr>
      </w:pPr>
      <w:r>
        <w:rPr>
          <w:rFonts w:hAnsi="楷体" w:cs="楷体" w:hint="eastAsia"/>
          <w:sz w:val="28"/>
          <w:szCs w:val="28"/>
        </w:rPr>
        <w:t>计划产出数：项目绩效目标确定的在一定时期（本年度或项目期）内计划产出的产品或提供的服务数量。</w:t>
      </w:r>
    </w:p>
    <w:p w:rsidR="00CB089D" w:rsidRDefault="00CB089D" w:rsidP="007F4D1A">
      <w:pPr>
        <w:spacing w:beforeLines="30" w:afterLines="30" w:line="360" w:lineRule="auto"/>
        <w:ind w:firstLineChars="200" w:firstLine="562"/>
        <w:rPr>
          <w:rFonts w:hAnsi="楷体" w:cs="楷体"/>
          <w:sz w:val="28"/>
          <w:szCs w:val="28"/>
        </w:rPr>
      </w:pPr>
      <w:r>
        <w:rPr>
          <w:rFonts w:hAnsi="Cambria" w:hint="eastAsia"/>
          <w:b/>
          <w:bCs/>
          <w:sz w:val="28"/>
          <w:szCs w:val="28"/>
        </w:rPr>
        <w:t>评分标准：</w:t>
      </w:r>
      <w:r>
        <w:rPr>
          <w:rFonts w:hAnsi="楷体" w:cs="楷体" w:hint="eastAsia"/>
          <w:sz w:val="28"/>
          <w:szCs w:val="28"/>
        </w:rPr>
        <w:t>实际得分=实际完成率*12。实际得分=实际完成率*12。项目完成情况以项目验收为准，没有组织验收的，以项目单位报送的项目进展情况确定，如无法确定项目是否完工，以工程形象进度达到</w:t>
      </w:r>
      <w:r>
        <w:rPr>
          <w:rFonts w:hAnsi="楷体" w:cs="楷体" w:hint="eastAsia"/>
          <w:sz w:val="28"/>
          <w:szCs w:val="28"/>
        </w:rPr>
        <w:lastRenderedPageBreak/>
        <w:t>100%视为项目完成。</w:t>
      </w:r>
    </w:p>
    <w:p w:rsidR="00CB089D" w:rsidRDefault="00CB089D" w:rsidP="007F4D1A">
      <w:pPr>
        <w:spacing w:beforeLines="30" w:afterLines="30" w:line="360" w:lineRule="auto"/>
        <w:ind w:firstLineChars="200" w:firstLine="562"/>
        <w:rPr>
          <w:rFonts w:hAnsi="楷体" w:cs="楷体"/>
          <w:sz w:val="28"/>
          <w:szCs w:val="28"/>
          <w:highlight w:val="yellow"/>
        </w:rPr>
      </w:pPr>
      <w:r>
        <w:rPr>
          <w:rFonts w:hAnsi="Cambria" w:hint="eastAsia"/>
          <w:b/>
          <w:bCs/>
          <w:sz w:val="28"/>
          <w:szCs w:val="28"/>
        </w:rPr>
        <w:t>评价分析：</w:t>
      </w:r>
      <w:r>
        <w:rPr>
          <w:rFonts w:hAnsi="楷体" w:cs="楷体" w:hint="eastAsia"/>
          <w:sz w:val="28"/>
          <w:szCs w:val="28"/>
        </w:rPr>
        <w:t>根据海南省人民检察院提供的绩效自评表及工作进展情况汇总表反映，案件受理数位为1300件；指导和监督案件数599件；侦查监督审讯率为100%，办理公诉及监督案件提高率为5%，符合立案标准为100%；2022年公诉及检察监督项目已完成绩效目标申报表中设定的产出数量，根据可执行指标执行情况表该项目实际完成率为98.72%，实际得分=12*99.99%=12分。</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12</w:t>
      </w:r>
      <w:r>
        <w:rPr>
          <w:rFonts w:hAnsi="楷体" w:cs="楷体"/>
          <w:sz w:val="28"/>
          <w:szCs w:val="28"/>
        </w:rPr>
        <w:t>分。</w:t>
      </w:r>
    </w:p>
    <w:p w:rsidR="00CB089D" w:rsidRDefault="00CB089D" w:rsidP="007F4D1A">
      <w:pPr>
        <w:spacing w:line="360" w:lineRule="auto"/>
        <w:ind w:firstLineChars="200" w:firstLine="562"/>
        <w:rPr>
          <w:rFonts w:hAnsi="楷体" w:cs="楷体"/>
          <w:b/>
          <w:bCs/>
          <w:sz w:val="28"/>
          <w:szCs w:val="28"/>
        </w:rPr>
      </w:pPr>
      <w:r>
        <w:rPr>
          <w:rFonts w:hint="eastAsia"/>
          <w:b/>
          <w:bCs/>
          <w:sz w:val="28"/>
          <w:szCs w:val="28"/>
        </w:rPr>
        <w:t>3.2.2产出质量达标率（6分）</w:t>
      </w:r>
      <w:r>
        <w:rPr>
          <w:rFonts w:hAnsi="楷体" w:cs="楷体"/>
          <w:b/>
          <w:bCs/>
          <w:sz w:val="28"/>
          <w:szCs w:val="28"/>
        </w:rPr>
        <w:t>。</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项目完成的质量达标产出数与实际产出数的比率，用以反映和考核项目产出质量目标的实现程度。评价要点：</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质量达标率=（质量达标产出数/实际产出数）×100%。</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质量达标产出数：一定时期（本年度或项目期）内实际达到既定质量标准的产品或服务数量。既定质量标准是指项目实施单位设立绩效目标时依据计划标准、行业标准、历史标准或其他标准而设定的绩效指标值。</w:t>
      </w:r>
    </w:p>
    <w:p w:rsidR="00CB089D" w:rsidRDefault="00CB089D" w:rsidP="007F4D1A">
      <w:pPr>
        <w:spacing w:line="360" w:lineRule="auto"/>
        <w:ind w:firstLineChars="200" w:firstLine="562"/>
        <w:rPr>
          <w:rFonts w:hAnsi="楷体" w:cs="楷体"/>
          <w:sz w:val="28"/>
          <w:szCs w:val="28"/>
        </w:rPr>
      </w:pPr>
      <w:r>
        <w:rPr>
          <w:rFonts w:hAnsi="楷体" w:cs="楷体" w:hint="eastAsia"/>
          <w:b/>
          <w:bCs/>
          <w:sz w:val="28"/>
          <w:szCs w:val="28"/>
        </w:rPr>
        <w:t>评分标准：</w:t>
      </w:r>
      <w:r>
        <w:rPr>
          <w:rFonts w:hAnsi="楷体" w:cs="楷体" w:hint="eastAsia"/>
          <w:sz w:val="28"/>
          <w:szCs w:val="28"/>
        </w:rPr>
        <w:t>实际得分=质量达标率*6分。项目完成情况以项目验收为准，没有组织验收的，以项目单位报送的项目进展情况确定，如无法确定项目是否完工，以工程形象进度达到100%视为项目完成。</w:t>
      </w:r>
    </w:p>
    <w:p w:rsidR="00CB089D" w:rsidRDefault="00CB089D" w:rsidP="007F4D1A">
      <w:pPr>
        <w:spacing w:beforeLines="30" w:afterLines="30" w:line="360" w:lineRule="auto"/>
        <w:ind w:firstLineChars="200" w:firstLine="562"/>
        <w:rPr>
          <w:rFonts w:hAnsi="楷体" w:cs="楷体"/>
          <w:sz w:val="28"/>
          <w:szCs w:val="28"/>
        </w:rPr>
      </w:pPr>
      <w:r>
        <w:rPr>
          <w:rFonts w:hAnsi="楷体" w:cs="楷体" w:hint="eastAsia"/>
          <w:b/>
          <w:bCs/>
          <w:sz w:val="28"/>
          <w:szCs w:val="28"/>
        </w:rPr>
        <w:t>评价分析：</w:t>
      </w:r>
      <w:r>
        <w:rPr>
          <w:rFonts w:hAnsi="楷体" w:cs="楷体" w:hint="eastAsia"/>
          <w:sz w:val="28"/>
          <w:szCs w:val="28"/>
        </w:rPr>
        <w:t>根据海南省人民检察院提供的2022年绩效自评表反映，该公诉及检察监督项目支出产出指标2项，完成其中2项，质量达标率83.33%。</w:t>
      </w:r>
    </w:p>
    <w:p w:rsidR="00CB089D" w:rsidRDefault="00CB089D" w:rsidP="007F4D1A">
      <w:pPr>
        <w:spacing w:line="360" w:lineRule="auto"/>
        <w:ind w:firstLineChars="200" w:firstLine="562"/>
        <w:rPr>
          <w:rFonts w:hAnsi="楷体" w:cs="楷体"/>
          <w:sz w:val="28"/>
          <w:szCs w:val="28"/>
        </w:rPr>
      </w:pPr>
      <w:r>
        <w:rPr>
          <w:rFonts w:hAnsi="楷体" w:cs="楷体" w:hint="eastAsia"/>
          <w:b/>
          <w:bCs/>
          <w:sz w:val="28"/>
          <w:szCs w:val="28"/>
        </w:rPr>
        <w:lastRenderedPageBreak/>
        <w:t>评价得分：</w:t>
      </w:r>
      <w:r>
        <w:rPr>
          <w:rFonts w:hAnsi="楷体" w:cs="楷体" w:hint="eastAsia"/>
          <w:sz w:val="28"/>
          <w:szCs w:val="28"/>
        </w:rPr>
        <w:t>经评价分析，该指标分=100%×6=6分。</w:t>
      </w:r>
    </w:p>
    <w:p w:rsidR="00CB089D" w:rsidRDefault="00CB089D" w:rsidP="007F4D1A">
      <w:pPr>
        <w:pStyle w:val="4"/>
        <w:spacing w:before="0" w:after="0" w:line="360" w:lineRule="auto"/>
        <w:ind w:firstLineChars="200" w:firstLine="562"/>
        <w:rPr>
          <w:rFonts w:ascii="仿宋_GB2312" w:eastAsia="仿宋_GB2312"/>
        </w:rPr>
      </w:pPr>
      <w:r>
        <w:rPr>
          <w:rFonts w:ascii="仿宋_GB2312" w:eastAsia="仿宋_GB2312" w:hint="eastAsia"/>
        </w:rPr>
        <w:t>3.2.3产出完成及时性（10）</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项目实际完成时间与计划完成时间的比较，用以反映和考核项目产出时效目标的实现程度。评价要点：</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实际完成时间：项目实施单位完成该项目实际所耗用的时间。</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计划完成时间：按照项目实施计划或相关规定完成该项目所需的时间。</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评分标准：</w:t>
      </w:r>
      <w:r>
        <w:rPr>
          <w:rFonts w:hAnsi="楷体" w:cs="楷体" w:hint="eastAsia"/>
          <w:sz w:val="28"/>
          <w:szCs w:val="28"/>
        </w:rPr>
        <w:t>实际得分=完成及时率*10分。</w:t>
      </w:r>
    </w:p>
    <w:p w:rsidR="00CB089D" w:rsidRDefault="00CB089D" w:rsidP="007F4D1A">
      <w:pPr>
        <w:spacing w:line="360" w:lineRule="auto"/>
        <w:ind w:firstLineChars="200" w:firstLine="562"/>
        <w:rPr>
          <w:rFonts w:hAnsi="楷体" w:cs="楷体"/>
          <w:b/>
          <w:sz w:val="28"/>
          <w:szCs w:val="28"/>
        </w:rPr>
      </w:pPr>
      <w:r>
        <w:rPr>
          <w:rFonts w:hAnsi="楷体" w:cs="楷体" w:hint="eastAsia"/>
          <w:b/>
          <w:sz w:val="28"/>
          <w:szCs w:val="28"/>
        </w:rPr>
        <w:t>评价分析：</w:t>
      </w:r>
      <w:r>
        <w:rPr>
          <w:rFonts w:hAnsi="仿宋_GB2312" w:cs="仿宋_GB2312" w:hint="eastAsia"/>
          <w:sz w:val="28"/>
          <w:szCs w:val="28"/>
        </w:rPr>
        <w:t>经查看</w:t>
      </w:r>
      <w:r>
        <w:rPr>
          <w:rFonts w:hAnsi="楷体" w:cs="楷体" w:hint="eastAsia"/>
          <w:sz w:val="28"/>
          <w:szCs w:val="28"/>
        </w:rPr>
        <w:t>海南省人民检察院</w:t>
      </w:r>
      <w:r>
        <w:rPr>
          <w:rFonts w:hAnsi="仿宋_GB2312" w:cs="仿宋_GB2312" w:hint="eastAsia"/>
          <w:sz w:val="28"/>
          <w:szCs w:val="28"/>
        </w:rPr>
        <w:t>的相关拨付凭证等资料，能及时拨付项目资金</w:t>
      </w:r>
      <w:r>
        <w:rPr>
          <w:rFonts w:hAnsi="楷体" w:cs="楷体" w:hint="eastAsia"/>
          <w:sz w:val="28"/>
          <w:szCs w:val="28"/>
        </w:rPr>
        <w:t>。</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hint="eastAsia"/>
          <w:sz w:val="28"/>
          <w:szCs w:val="28"/>
        </w:rPr>
        <w:t>经评价分析，该指标综合得分10分</w:t>
      </w:r>
      <w:r>
        <w:rPr>
          <w:rFonts w:hAnsi="楷体" w:cs="楷体"/>
          <w:sz w:val="28"/>
          <w:szCs w:val="28"/>
        </w:rPr>
        <w:t>。</w:t>
      </w:r>
    </w:p>
    <w:p w:rsidR="00CB089D" w:rsidRDefault="00CB089D" w:rsidP="007F4D1A">
      <w:pPr>
        <w:pStyle w:val="4"/>
        <w:spacing w:before="0" w:after="0" w:line="360" w:lineRule="auto"/>
        <w:ind w:firstLineChars="200" w:firstLine="562"/>
        <w:rPr>
          <w:rFonts w:ascii="仿宋_GB2312" w:eastAsia="仿宋_GB2312"/>
        </w:rPr>
      </w:pPr>
      <w:r>
        <w:rPr>
          <w:rFonts w:ascii="仿宋_GB2312" w:eastAsia="仿宋_GB2312" w:hint="eastAsia"/>
        </w:rPr>
        <w:t>3.2.4成本节约率（6分）</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完成项目计划工作目标的实际节约成本与计划成本的比率，用以反映和考核项目的成本节约程度。评价要点：</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成本节约率=[（计划成本-实际成本）/计划成本]×100%。</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实际成本：项目实施单位如期、保质、保量完成既定工作目标实际所耗费的支出。</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计划成本：项目实施单位为完成工作目标计划安排的支出，一般以项目预算为参考。</w:t>
      </w:r>
    </w:p>
    <w:p w:rsidR="00CB089D" w:rsidRDefault="00CB089D" w:rsidP="007F4D1A">
      <w:pPr>
        <w:spacing w:beforeLines="30" w:afterLines="30" w:line="360" w:lineRule="auto"/>
        <w:ind w:firstLineChars="200" w:firstLine="562"/>
        <w:rPr>
          <w:rFonts w:hAnsi="楷体" w:cs="楷体"/>
          <w:b/>
          <w:sz w:val="28"/>
          <w:szCs w:val="28"/>
        </w:rPr>
      </w:pPr>
      <w:r>
        <w:rPr>
          <w:rFonts w:hAnsi="楷体" w:cs="楷体" w:hint="eastAsia"/>
          <w:b/>
          <w:sz w:val="28"/>
          <w:szCs w:val="28"/>
        </w:rPr>
        <w:t>评分标准：</w:t>
      </w:r>
    </w:p>
    <w:p w:rsidR="00CB089D" w:rsidRDefault="00CB089D" w:rsidP="007F4D1A">
      <w:pPr>
        <w:spacing w:beforeLines="30" w:afterLines="30" w:line="360" w:lineRule="auto"/>
        <w:ind w:firstLineChars="200" w:firstLine="560"/>
        <w:rPr>
          <w:rFonts w:hAnsi="楷体" w:cs="楷体"/>
          <w:bCs/>
          <w:sz w:val="28"/>
          <w:szCs w:val="28"/>
        </w:rPr>
      </w:pPr>
      <w:r>
        <w:rPr>
          <w:rFonts w:hAnsi="楷体" w:cs="楷体" w:hint="eastAsia"/>
          <w:bCs/>
          <w:sz w:val="28"/>
          <w:szCs w:val="28"/>
        </w:rPr>
        <w:t>成本节约率大于或等于10%的，得6分；</w:t>
      </w:r>
    </w:p>
    <w:p w:rsidR="00CB089D" w:rsidRDefault="00CB089D" w:rsidP="007F4D1A">
      <w:pPr>
        <w:spacing w:beforeLines="30" w:afterLines="30" w:line="360" w:lineRule="auto"/>
        <w:ind w:firstLineChars="200" w:firstLine="560"/>
        <w:rPr>
          <w:rFonts w:hAnsi="楷体" w:cs="楷体"/>
          <w:bCs/>
          <w:sz w:val="28"/>
          <w:szCs w:val="28"/>
        </w:rPr>
      </w:pPr>
      <w:r>
        <w:rPr>
          <w:rFonts w:hAnsi="楷体" w:cs="楷体" w:hint="eastAsia"/>
          <w:bCs/>
          <w:sz w:val="28"/>
          <w:szCs w:val="28"/>
        </w:rPr>
        <w:t>成本节约率大于0且小于10%的，得3分；</w:t>
      </w:r>
    </w:p>
    <w:p w:rsidR="00CB089D" w:rsidRDefault="00CB089D" w:rsidP="007F4D1A">
      <w:pPr>
        <w:spacing w:beforeLines="30" w:afterLines="30" w:line="360" w:lineRule="auto"/>
        <w:ind w:firstLineChars="200" w:firstLine="560"/>
        <w:rPr>
          <w:rFonts w:hAnsi="楷体" w:cs="楷体"/>
          <w:sz w:val="28"/>
          <w:szCs w:val="28"/>
        </w:rPr>
      </w:pPr>
      <w:r>
        <w:rPr>
          <w:rFonts w:hAnsi="楷体" w:cs="楷体" w:hint="eastAsia"/>
          <w:bCs/>
          <w:sz w:val="28"/>
          <w:szCs w:val="28"/>
        </w:rPr>
        <w:lastRenderedPageBreak/>
        <w:t>成本节约率小于于或等于0的，得0分</w:t>
      </w:r>
      <w:r>
        <w:rPr>
          <w:rFonts w:hAnsi="楷体" w:cs="楷体" w:hint="eastAsia"/>
          <w:sz w:val="28"/>
          <w:szCs w:val="28"/>
        </w:rPr>
        <w:t>。</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评价分析：</w:t>
      </w:r>
      <w:r>
        <w:rPr>
          <w:rFonts w:hAnsi="楷体" w:cs="楷体" w:hint="eastAsia"/>
          <w:sz w:val="28"/>
          <w:szCs w:val="28"/>
        </w:rPr>
        <w:t>截至2022年12月31日，该公诉及检察监督项目计划安排519.6万元，根据海南省人民检察院提供的2022年可执行指标执行情况表及资金支出明细账确定，合计产出成本452.82万元。节约投资66.78万元，节约比率12.85%。</w:t>
      </w:r>
    </w:p>
    <w:p w:rsidR="00DD719C" w:rsidRP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hint="eastAsia"/>
          <w:sz w:val="28"/>
          <w:szCs w:val="28"/>
        </w:rPr>
        <w:t>经评价分析，该指标得分6分。</w:t>
      </w:r>
    </w:p>
    <w:p w:rsidR="00116E1F" w:rsidRDefault="00116E1F" w:rsidP="00116E1F">
      <w:pPr>
        <w:spacing w:line="552" w:lineRule="exact"/>
        <w:ind w:firstLineChars="200" w:firstLine="640"/>
        <w:outlineLvl w:val="0"/>
        <w:rPr>
          <w:rFonts w:hAnsi="仿宋"/>
          <w:szCs w:val="32"/>
        </w:rPr>
      </w:pPr>
      <w:r w:rsidRPr="00FD235A">
        <w:rPr>
          <w:rFonts w:hAnsi="仿宋" w:hint="eastAsia"/>
          <w:szCs w:val="32"/>
        </w:rPr>
        <w:t>（四）项目效益情况。</w:t>
      </w:r>
    </w:p>
    <w:p w:rsidR="00CB089D" w:rsidRDefault="00CB089D" w:rsidP="007F4D1A">
      <w:pPr>
        <w:pStyle w:val="3"/>
        <w:spacing w:before="0" w:after="0" w:line="360" w:lineRule="auto"/>
        <w:ind w:firstLineChars="200" w:firstLine="562"/>
        <w:rPr>
          <w:sz w:val="28"/>
          <w:szCs w:val="28"/>
        </w:rPr>
      </w:pPr>
      <w:r>
        <w:rPr>
          <w:rFonts w:hint="eastAsia"/>
          <w:sz w:val="28"/>
          <w:szCs w:val="28"/>
        </w:rPr>
        <w:t>4.1</w:t>
      </w:r>
      <w:r>
        <w:rPr>
          <w:rFonts w:hint="eastAsia"/>
          <w:sz w:val="28"/>
          <w:szCs w:val="28"/>
        </w:rPr>
        <w:t>指标得分计算情况</w:t>
      </w:r>
    </w:p>
    <w:tbl>
      <w:tblPr>
        <w:tblW w:w="8079" w:type="dxa"/>
        <w:tblInd w:w="438" w:type="dxa"/>
        <w:tblBorders>
          <w:top w:val="single" w:sz="8" w:space="0" w:color="000000"/>
          <w:bottom w:val="single" w:sz="8" w:space="0" w:color="000000"/>
          <w:insideH w:val="dotted" w:sz="4" w:space="0" w:color="auto"/>
          <w:insideV w:val="dotted" w:sz="4" w:space="0" w:color="auto"/>
        </w:tblBorders>
        <w:tblLayout w:type="fixed"/>
        <w:tblCellMar>
          <w:left w:w="0" w:type="dxa"/>
          <w:right w:w="0" w:type="dxa"/>
        </w:tblCellMar>
        <w:tblLook w:val="04A0"/>
      </w:tblPr>
      <w:tblGrid>
        <w:gridCol w:w="1559"/>
        <w:gridCol w:w="3961"/>
        <w:gridCol w:w="1284"/>
        <w:gridCol w:w="1275"/>
      </w:tblGrid>
      <w:tr w:rsidR="00CB089D" w:rsidTr="009B3901">
        <w:trPr>
          <w:trHeight w:val="400"/>
        </w:trPr>
        <w:tc>
          <w:tcPr>
            <w:tcW w:w="1559" w:type="dxa"/>
            <w:shd w:val="clear" w:color="auto" w:fill="auto"/>
            <w:tcMar>
              <w:top w:w="12" w:type="dxa"/>
              <w:left w:w="12" w:type="dxa"/>
              <w:right w:w="12" w:type="dxa"/>
            </w:tcMar>
            <w:vAlign w:val="center"/>
          </w:tcPr>
          <w:p w:rsidR="00CB089D" w:rsidRDefault="00CB089D" w:rsidP="009B3901">
            <w:pPr>
              <w:widowControl/>
              <w:jc w:val="center"/>
              <w:textAlignment w:val="center"/>
              <w:rPr>
                <w:rFonts w:hAnsi="宋体" w:cs="楷体"/>
                <w:color w:val="000000"/>
                <w:szCs w:val="21"/>
              </w:rPr>
            </w:pPr>
            <w:r>
              <w:rPr>
                <w:rFonts w:hAnsi="宋体" w:cs="楷体" w:hint="eastAsia"/>
                <w:color w:val="000000"/>
                <w:kern w:val="0"/>
                <w:szCs w:val="21"/>
              </w:rPr>
              <w:t>评价准则</w:t>
            </w:r>
          </w:p>
        </w:tc>
        <w:tc>
          <w:tcPr>
            <w:tcW w:w="3961" w:type="dxa"/>
            <w:shd w:val="clear" w:color="auto" w:fill="auto"/>
            <w:tcMar>
              <w:top w:w="12" w:type="dxa"/>
              <w:left w:w="12" w:type="dxa"/>
              <w:right w:w="12" w:type="dxa"/>
            </w:tcMar>
            <w:vAlign w:val="center"/>
          </w:tcPr>
          <w:p w:rsidR="00CB089D" w:rsidRDefault="00CB089D" w:rsidP="009B3901">
            <w:pPr>
              <w:widowControl/>
              <w:jc w:val="center"/>
              <w:textAlignment w:val="center"/>
              <w:rPr>
                <w:rFonts w:hAnsi="宋体" w:cs="楷体"/>
                <w:color w:val="000000"/>
                <w:szCs w:val="21"/>
              </w:rPr>
            </w:pPr>
            <w:r>
              <w:rPr>
                <w:rFonts w:hAnsi="宋体" w:cs="楷体" w:hint="eastAsia"/>
                <w:color w:val="000000"/>
                <w:szCs w:val="21"/>
              </w:rPr>
              <w:t>评价指标</w:t>
            </w:r>
          </w:p>
        </w:tc>
        <w:tc>
          <w:tcPr>
            <w:tcW w:w="1284" w:type="dxa"/>
            <w:vAlign w:val="center"/>
          </w:tcPr>
          <w:p w:rsidR="00CB089D" w:rsidRDefault="00CB089D" w:rsidP="009B3901">
            <w:pPr>
              <w:widowControl/>
              <w:jc w:val="right"/>
              <w:textAlignment w:val="center"/>
              <w:rPr>
                <w:rFonts w:hAnsi="楷体" w:cs="楷体"/>
                <w:color w:val="000000"/>
                <w:kern w:val="0"/>
                <w:szCs w:val="21"/>
              </w:rPr>
            </w:pPr>
            <w:r>
              <w:rPr>
                <w:rFonts w:hAnsi="楷体" w:cs="楷体" w:hint="eastAsia"/>
                <w:color w:val="000000"/>
                <w:kern w:val="0"/>
                <w:szCs w:val="21"/>
              </w:rPr>
              <w:t>分值</w:t>
            </w:r>
          </w:p>
        </w:tc>
        <w:tc>
          <w:tcPr>
            <w:tcW w:w="1275" w:type="dxa"/>
            <w:shd w:val="clear" w:color="auto" w:fill="auto"/>
            <w:tcMar>
              <w:top w:w="12" w:type="dxa"/>
              <w:left w:w="12" w:type="dxa"/>
              <w:right w:w="12" w:type="dxa"/>
            </w:tcMar>
            <w:vAlign w:val="center"/>
          </w:tcPr>
          <w:p w:rsidR="00CB089D" w:rsidRDefault="00CB089D" w:rsidP="009B3901">
            <w:pPr>
              <w:widowControl/>
              <w:jc w:val="right"/>
              <w:textAlignment w:val="center"/>
              <w:rPr>
                <w:rFonts w:hAnsi="楷体" w:cs="楷体"/>
                <w:color w:val="000000"/>
                <w:szCs w:val="21"/>
              </w:rPr>
            </w:pPr>
            <w:r>
              <w:rPr>
                <w:rFonts w:hAnsi="楷体" w:cs="楷体" w:hint="eastAsia"/>
                <w:color w:val="000000"/>
                <w:kern w:val="0"/>
                <w:szCs w:val="21"/>
              </w:rPr>
              <w:t>得分</w:t>
            </w:r>
          </w:p>
        </w:tc>
      </w:tr>
      <w:tr w:rsidR="00CB089D" w:rsidTr="009B3901">
        <w:trPr>
          <w:trHeight w:val="400"/>
        </w:trPr>
        <w:tc>
          <w:tcPr>
            <w:tcW w:w="1559"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kern w:val="0"/>
                <w:szCs w:val="21"/>
              </w:rPr>
            </w:pPr>
            <w:r>
              <w:rPr>
                <w:rFonts w:hAnsi="宋体" w:cs="楷体" w:hint="eastAsia"/>
                <w:color w:val="000000"/>
                <w:kern w:val="0"/>
                <w:szCs w:val="21"/>
              </w:rPr>
              <w:t>经济效益</w:t>
            </w:r>
          </w:p>
        </w:tc>
        <w:tc>
          <w:tcPr>
            <w:tcW w:w="3961"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kern w:val="0"/>
                <w:szCs w:val="21"/>
              </w:rPr>
            </w:pPr>
            <w:r>
              <w:rPr>
                <w:rFonts w:hAnsi="宋体" w:cs="楷体"/>
                <w:color w:val="000000"/>
                <w:kern w:val="0"/>
                <w:szCs w:val="21"/>
              </w:rPr>
              <w:t>根据项目实际情况有选择地设置和细化。</w:t>
            </w:r>
          </w:p>
        </w:tc>
        <w:tc>
          <w:tcPr>
            <w:tcW w:w="1284" w:type="dxa"/>
            <w:vAlign w:val="center"/>
          </w:tcPr>
          <w:p w:rsidR="00CB089D" w:rsidRDefault="00CB089D" w:rsidP="009B3901">
            <w:pPr>
              <w:widowControl/>
              <w:jc w:val="right"/>
              <w:textAlignment w:val="center"/>
              <w:rPr>
                <w:rFonts w:ascii="Arial Narrow" w:hAnsi="Arial Narrow" w:cs="楷体"/>
                <w:color w:val="000000"/>
                <w:kern w:val="0"/>
                <w:sz w:val="18"/>
                <w:szCs w:val="18"/>
              </w:rPr>
            </w:pPr>
            <w:r>
              <w:rPr>
                <w:rFonts w:ascii="Arial Narrow" w:hAnsi="Arial Narrow" w:cs="楷体" w:hint="eastAsia"/>
                <w:color w:val="000000"/>
                <w:kern w:val="0"/>
                <w:sz w:val="18"/>
                <w:szCs w:val="18"/>
              </w:rPr>
              <w:t>3.00</w:t>
            </w:r>
          </w:p>
        </w:tc>
        <w:tc>
          <w:tcPr>
            <w:tcW w:w="1275" w:type="dxa"/>
            <w:shd w:val="clear" w:color="auto" w:fill="auto"/>
            <w:tcMar>
              <w:top w:w="12" w:type="dxa"/>
              <w:left w:w="12" w:type="dxa"/>
              <w:right w:w="12" w:type="dxa"/>
            </w:tcMar>
            <w:vAlign w:val="center"/>
          </w:tcPr>
          <w:p w:rsidR="00CB089D" w:rsidRDefault="00CB089D"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3.00</w:t>
            </w:r>
          </w:p>
        </w:tc>
      </w:tr>
      <w:tr w:rsidR="00CB089D" w:rsidTr="009B3901">
        <w:trPr>
          <w:trHeight w:val="400"/>
        </w:trPr>
        <w:tc>
          <w:tcPr>
            <w:tcW w:w="1559"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szCs w:val="21"/>
              </w:rPr>
            </w:pPr>
            <w:r>
              <w:rPr>
                <w:rFonts w:hAnsi="宋体" w:cs="楷体" w:hint="eastAsia"/>
                <w:color w:val="000000"/>
                <w:kern w:val="0"/>
                <w:szCs w:val="21"/>
              </w:rPr>
              <w:t>社会效益</w:t>
            </w:r>
          </w:p>
        </w:tc>
        <w:tc>
          <w:tcPr>
            <w:tcW w:w="3961"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szCs w:val="21"/>
              </w:rPr>
            </w:pPr>
            <w:r>
              <w:rPr>
                <w:rFonts w:hAnsi="宋体" w:cs="楷体"/>
                <w:color w:val="000000"/>
                <w:szCs w:val="21"/>
              </w:rPr>
              <w:t>根据项目实际情况有选择地设置和细化。</w:t>
            </w:r>
          </w:p>
        </w:tc>
        <w:tc>
          <w:tcPr>
            <w:tcW w:w="1284" w:type="dxa"/>
            <w:vAlign w:val="center"/>
          </w:tcPr>
          <w:p w:rsidR="00CB089D" w:rsidRDefault="00CB089D" w:rsidP="009B3901">
            <w:pPr>
              <w:widowControl/>
              <w:jc w:val="right"/>
              <w:textAlignment w:val="center"/>
              <w:rPr>
                <w:rFonts w:ascii="Arial Narrow" w:hAnsi="Arial Narrow" w:cs="楷体"/>
                <w:color w:val="000000"/>
                <w:kern w:val="0"/>
                <w:sz w:val="18"/>
                <w:szCs w:val="18"/>
              </w:rPr>
            </w:pPr>
            <w:r>
              <w:rPr>
                <w:rFonts w:ascii="Arial Narrow" w:hAnsi="Arial Narrow" w:cs="楷体" w:hint="eastAsia"/>
                <w:color w:val="000000"/>
                <w:kern w:val="0"/>
                <w:sz w:val="18"/>
                <w:szCs w:val="18"/>
              </w:rPr>
              <w:t>3.00</w:t>
            </w:r>
          </w:p>
        </w:tc>
        <w:tc>
          <w:tcPr>
            <w:tcW w:w="1275" w:type="dxa"/>
            <w:shd w:val="clear" w:color="auto" w:fill="auto"/>
            <w:tcMar>
              <w:top w:w="12" w:type="dxa"/>
              <w:left w:w="12" w:type="dxa"/>
              <w:right w:w="12" w:type="dxa"/>
            </w:tcMar>
            <w:vAlign w:val="center"/>
          </w:tcPr>
          <w:p w:rsidR="00CB089D" w:rsidRDefault="00CB089D"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3.00</w:t>
            </w:r>
          </w:p>
        </w:tc>
      </w:tr>
      <w:tr w:rsidR="00CB089D" w:rsidTr="009B3901">
        <w:trPr>
          <w:trHeight w:val="400"/>
        </w:trPr>
        <w:tc>
          <w:tcPr>
            <w:tcW w:w="1559"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kern w:val="0"/>
                <w:szCs w:val="21"/>
              </w:rPr>
            </w:pPr>
            <w:r>
              <w:rPr>
                <w:rFonts w:hAnsi="宋体" w:cs="楷体" w:hint="eastAsia"/>
                <w:color w:val="000000"/>
                <w:kern w:val="0"/>
                <w:szCs w:val="21"/>
              </w:rPr>
              <w:t>生态效益</w:t>
            </w:r>
          </w:p>
        </w:tc>
        <w:tc>
          <w:tcPr>
            <w:tcW w:w="3961"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kern w:val="0"/>
                <w:szCs w:val="21"/>
              </w:rPr>
            </w:pPr>
            <w:r>
              <w:rPr>
                <w:rFonts w:hAnsi="宋体" w:cs="楷体"/>
                <w:color w:val="000000"/>
                <w:kern w:val="0"/>
                <w:szCs w:val="21"/>
              </w:rPr>
              <w:t>根据项目实际情况有选择地设置和细化。</w:t>
            </w:r>
          </w:p>
        </w:tc>
        <w:tc>
          <w:tcPr>
            <w:tcW w:w="1284" w:type="dxa"/>
            <w:vAlign w:val="center"/>
          </w:tcPr>
          <w:p w:rsidR="00CB089D" w:rsidRDefault="00CB089D" w:rsidP="009B3901">
            <w:pPr>
              <w:widowControl/>
              <w:jc w:val="right"/>
              <w:textAlignment w:val="center"/>
              <w:rPr>
                <w:rFonts w:ascii="Arial Narrow" w:hAnsi="Arial Narrow" w:cs="楷体"/>
                <w:color w:val="000000"/>
                <w:kern w:val="0"/>
                <w:sz w:val="18"/>
                <w:szCs w:val="18"/>
              </w:rPr>
            </w:pPr>
            <w:r>
              <w:rPr>
                <w:rFonts w:ascii="Arial Narrow" w:hAnsi="Arial Narrow" w:cs="楷体" w:hint="eastAsia"/>
                <w:color w:val="000000"/>
                <w:kern w:val="0"/>
                <w:sz w:val="18"/>
                <w:szCs w:val="18"/>
              </w:rPr>
              <w:t>3.00</w:t>
            </w:r>
          </w:p>
        </w:tc>
        <w:tc>
          <w:tcPr>
            <w:tcW w:w="1275" w:type="dxa"/>
            <w:shd w:val="clear" w:color="auto" w:fill="auto"/>
            <w:tcMar>
              <w:top w:w="12" w:type="dxa"/>
              <w:left w:w="12" w:type="dxa"/>
              <w:right w:w="12" w:type="dxa"/>
            </w:tcMar>
            <w:vAlign w:val="center"/>
          </w:tcPr>
          <w:p w:rsidR="00CB089D" w:rsidRDefault="00CB089D"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3.00</w:t>
            </w:r>
          </w:p>
        </w:tc>
      </w:tr>
      <w:tr w:rsidR="00CB089D" w:rsidTr="009B3901">
        <w:trPr>
          <w:trHeight w:val="400"/>
        </w:trPr>
        <w:tc>
          <w:tcPr>
            <w:tcW w:w="1559"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kern w:val="0"/>
                <w:szCs w:val="21"/>
              </w:rPr>
            </w:pPr>
            <w:r>
              <w:rPr>
                <w:rFonts w:hAnsi="宋体" w:cs="楷体" w:hint="eastAsia"/>
                <w:color w:val="000000"/>
                <w:kern w:val="0"/>
                <w:szCs w:val="21"/>
              </w:rPr>
              <w:t>可持续发展</w:t>
            </w:r>
          </w:p>
        </w:tc>
        <w:tc>
          <w:tcPr>
            <w:tcW w:w="3961"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kern w:val="0"/>
                <w:szCs w:val="21"/>
              </w:rPr>
            </w:pPr>
            <w:r>
              <w:rPr>
                <w:rFonts w:hAnsi="宋体" w:cs="楷体"/>
                <w:color w:val="000000"/>
                <w:kern w:val="0"/>
                <w:szCs w:val="21"/>
              </w:rPr>
              <w:t>根据项目实际情况有选择地设置和细化。</w:t>
            </w:r>
          </w:p>
        </w:tc>
        <w:tc>
          <w:tcPr>
            <w:tcW w:w="1284" w:type="dxa"/>
            <w:vAlign w:val="center"/>
          </w:tcPr>
          <w:p w:rsidR="00CB089D" w:rsidRDefault="00CB089D"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3.00</w:t>
            </w:r>
          </w:p>
        </w:tc>
        <w:tc>
          <w:tcPr>
            <w:tcW w:w="1275" w:type="dxa"/>
            <w:shd w:val="clear" w:color="auto" w:fill="auto"/>
            <w:tcMar>
              <w:top w:w="12" w:type="dxa"/>
              <w:left w:w="12" w:type="dxa"/>
              <w:right w:w="12" w:type="dxa"/>
            </w:tcMar>
            <w:vAlign w:val="center"/>
          </w:tcPr>
          <w:p w:rsidR="00CB089D" w:rsidRDefault="00CB089D"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3.00</w:t>
            </w:r>
          </w:p>
        </w:tc>
      </w:tr>
      <w:tr w:rsidR="00CB089D" w:rsidTr="009B3901">
        <w:trPr>
          <w:trHeight w:val="400"/>
        </w:trPr>
        <w:tc>
          <w:tcPr>
            <w:tcW w:w="1559"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kern w:val="0"/>
                <w:szCs w:val="21"/>
              </w:rPr>
            </w:pPr>
            <w:r>
              <w:rPr>
                <w:rFonts w:hAnsi="宋体" w:cs="楷体" w:hint="eastAsia"/>
                <w:color w:val="000000"/>
                <w:kern w:val="0"/>
                <w:szCs w:val="21"/>
              </w:rPr>
              <w:t>社会公众满意度</w:t>
            </w:r>
          </w:p>
        </w:tc>
        <w:tc>
          <w:tcPr>
            <w:tcW w:w="3961" w:type="dxa"/>
            <w:shd w:val="clear" w:color="auto" w:fill="auto"/>
            <w:tcMar>
              <w:top w:w="12" w:type="dxa"/>
              <w:left w:w="12" w:type="dxa"/>
              <w:right w:w="12" w:type="dxa"/>
            </w:tcMar>
            <w:vAlign w:val="center"/>
          </w:tcPr>
          <w:p w:rsidR="00CB089D" w:rsidRDefault="00CB089D" w:rsidP="009B3901">
            <w:pPr>
              <w:widowControl/>
              <w:jc w:val="left"/>
              <w:textAlignment w:val="center"/>
              <w:rPr>
                <w:rFonts w:hAnsi="宋体" w:cs="楷体"/>
                <w:color w:val="000000"/>
                <w:kern w:val="0"/>
                <w:szCs w:val="21"/>
              </w:rPr>
            </w:pPr>
            <w:r>
              <w:rPr>
                <w:rFonts w:hAnsi="宋体" w:cs="楷体" w:hint="eastAsia"/>
                <w:color w:val="000000"/>
                <w:kern w:val="0"/>
                <w:szCs w:val="21"/>
              </w:rPr>
              <w:t>服务对象满意度</w:t>
            </w:r>
          </w:p>
        </w:tc>
        <w:tc>
          <w:tcPr>
            <w:tcW w:w="1284" w:type="dxa"/>
            <w:vAlign w:val="center"/>
          </w:tcPr>
          <w:p w:rsidR="00CB089D" w:rsidRDefault="00CB089D"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6.00</w:t>
            </w:r>
          </w:p>
        </w:tc>
        <w:tc>
          <w:tcPr>
            <w:tcW w:w="1275" w:type="dxa"/>
            <w:shd w:val="clear" w:color="auto" w:fill="auto"/>
            <w:tcMar>
              <w:top w:w="12" w:type="dxa"/>
              <w:left w:w="12" w:type="dxa"/>
              <w:right w:w="12" w:type="dxa"/>
            </w:tcMar>
            <w:vAlign w:val="center"/>
          </w:tcPr>
          <w:p w:rsidR="00CB089D" w:rsidRDefault="00CB089D"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6.00</w:t>
            </w:r>
          </w:p>
        </w:tc>
      </w:tr>
      <w:tr w:rsidR="00CB089D" w:rsidTr="009B3901">
        <w:trPr>
          <w:trHeight w:val="400"/>
        </w:trPr>
        <w:tc>
          <w:tcPr>
            <w:tcW w:w="1559" w:type="dxa"/>
            <w:shd w:val="clear" w:color="auto" w:fill="auto"/>
            <w:tcMar>
              <w:top w:w="12" w:type="dxa"/>
              <w:left w:w="12" w:type="dxa"/>
              <w:right w:w="12" w:type="dxa"/>
            </w:tcMar>
            <w:vAlign w:val="center"/>
          </w:tcPr>
          <w:p w:rsidR="00CB089D" w:rsidRDefault="00CB089D" w:rsidP="009B3901">
            <w:pPr>
              <w:widowControl/>
              <w:jc w:val="center"/>
              <w:textAlignment w:val="center"/>
              <w:rPr>
                <w:rFonts w:hAnsi="宋体" w:cs="楷体"/>
                <w:color w:val="000000"/>
                <w:szCs w:val="21"/>
              </w:rPr>
            </w:pPr>
            <w:r>
              <w:rPr>
                <w:rFonts w:hAnsi="宋体" w:cs="楷体" w:hint="eastAsia"/>
                <w:color w:val="000000"/>
                <w:kern w:val="0"/>
                <w:szCs w:val="21"/>
              </w:rPr>
              <w:t>合  计</w:t>
            </w:r>
          </w:p>
        </w:tc>
        <w:tc>
          <w:tcPr>
            <w:tcW w:w="3961" w:type="dxa"/>
            <w:shd w:val="clear" w:color="auto" w:fill="auto"/>
            <w:tcMar>
              <w:top w:w="12" w:type="dxa"/>
              <w:left w:w="12" w:type="dxa"/>
              <w:right w:w="12" w:type="dxa"/>
            </w:tcMar>
            <w:vAlign w:val="center"/>
          </w:tcPr>
          <w:p w:rsidR="00CB089D" w:rsidRDefault="00CB089D" w:rsidP="009B3901">
            <w:pPr>
              <w:widowControl/>
              <w:jc w:val="center"/>
              <w:textAlignment w:val="center"/>
              <w:rPr>
                <w:rFonts w:hAnsi="宋体" w:cs="楷体"/>
                <w:color w:val="000000"/>
                <w:szCs w:val="21"/>
              </w:rPr>
            </w:pPr>
          </w:p>
        </w:tc>
        <w:tc>
          <w:tcPr>
            <w:tcW w:w="1284" w:type="dxa"/>
            <w:vAlign w:val="center"/>
          </w:tcPr>
          <w:p w:rsidR="00CB089D" w:rsidRDefault="00CB089D"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18.00</w:t>
            </w:r>
          </w:p>
        </w:tc>
        <w:tc>
          <w:tcPr>
            <w:tcW w:w="1275" w:type="dxa"/>
            <w:shd w:val="clear" w:color="auto" w:fill="auto"/>
            <w:tcMar>
              <w:top w:w="12" w:type="dxa"/>
              <w:left w:w="12" w:type="dxa"/>
              <w:right w:w="12" w:type="dxa"/>
            </w:tcMar>
            <w:vAlign w:val="center"/>
          </w:tcPr>
          <w:p w:rsidR="00CB089D" w:rsidRDefault="00CB089D" w:rsidP="009B3901">
            <w:pPr>
              <w:widowControl/>
              <w:jc w:val="right"/>
              <w:textAlignment w:val="center"/>
              <w:rPr>
                <w:rFonts w:ascii="Arial Narrow" w:hAnsi="Arial Narrow" w:cs="楷体"/>
                <w:color w:val="000000"/>
                <w:sz w:val="18"/>
                <w:szCs w:val="18"/>
              </w:rPr>
            </w:pPr>
            <w:r>
              <w:rPr>
                <w:rFonts w:ascii="Arial Narrow" w:hAnsi="Arial Narrow" w:cs="楷体" w:hint="eastAsia"/>
                <w:color w:val="000000"/>
                <w:sz w:val="18"/>
                <w:szCs w:val="18"/>
              </w:rPr>
              <w:t>18.00</w:t>
            </w:r>
          </w:p>
        </w:tc>
      </w:tr>
    </w:tbl>
    <w:p w:rsidR="00CB089D" w:rsidRDefault="00CB089D" w:rsidP="007F4D1A">
      <w:pPr>
        <w:pStyle w:val="3"/>
        <w:spacing w:before="0" w:after="0" w:line="360" w:lineRule="auto"/>
        <w:ind w:firstLineChars="200" w:firstLine="562"/>
        <w:rPr>
          <w:sz w:val="28"/>
          <w:szCs w:val="28"/>
        </w:rPr>
      </w:pPr>
      <w:r>
        <w:rPr>
          <w:rFonts w:hint="eastAsia"/>
          <w:sz w:val="28"/>
          <w:szCs w:val="28"/>
        </w:rPr>
        <w:lastRenderedPageBreak/>
        <w:t xml:space="preserve">4.2 </w:t>
      </w:r>
      <w:r>
        <w:rPr>
          <w:rFonts w:hint="eastAsia"/>
          <w:sz w:val="28"/>
          <w:szCs w:val="28"/>
        </w:rPr>
        <w:t>指标得分说明及绩效分析</w:t>
      </w:r>
    </w:p>
    <w:p w:rsidR="00CB089D" w:rsidRDefault="00CB089D" w:rsidP="007F4D1A">
      <w:pPr>
        <w:pStyle w:val="4"/>
        <w:spacing w:before="0" w:after="0" w:line="360" w:lineRule="auto"/>
        <w:ind w:firstLineChars="200" w:firstLine="562"/>
        <w:rPr>
          <w:rFonts w:ascii="仿宋_GB2312" w:eastAsia="仿宋_GB2312"/>
        </w:rPr>
      </w:pPr>
      <w:r>
        <w:rPr>
          <w:rFonts w:ascii="仿宋_GB2312" w:eastAsia="仿宋_GB2312" w:hint="eastAsia"/>
        </w:rPr>
        <w:t>4.2.1经济效益（3分）</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用于反映项目实施后产生的经济效益。</w:t>
      </w:r>
    </w:p>
    <w:p w:rsidR="00CB089D" w:rsidRDefault="00CB089D" w:rsidP="007F4D1A">
      <w:pPr>
        <w:spacing w:beforeLines="30" w:afterLines="30" w:line="360" w:lineRule="auto"/>
        <w:ind w:firstLineChars="200" w:firstLine="562"/>
        <w:rPr>
          <w:rFonts w:hAnsi="楷体" w:cs="楷体"/>
          <w:sz w:val="28"/>
          <w:szCs w:val="28"/>
        </w:rPr>
      </w:pPr>
      <w:r>
        <w:rPr>
          <w:rFonts w:hAnsi="楷体" w:cs="楷体" w:hint="eastAsia"/>
          <w:b/>
          <w:sz w:val="28"/>
          <w:szCs w:val="28"/>
        </w:rPr>
        <w:t>评分标准：</w:t>
      </w:r>
      <w:r>
        <w:rPr>
          <w:rFonts w:hAnsi="楷体" w:cs="楷体" w:hint="eastAsia"/>
          <w:bCs/>
          <w:sz w:val="28"/>
          <w:szCs w:val="28"/>
        </w:rPr>
        <w:t>完成设定目标得3分，完成率少于计划目标得0分</w:t>
      </w:r>
    </w:p>
    <w:p w:rsidR="00CB089D" w:rsidRDefault="00CB089D" w:rsidP="00CB089D">
      <w:pPr>
        <w:spacing w:line="360" w:lineRule="auto"/>
        <w:ind w:firstLineChars="200" w:firstLine="560"/>
        <w:rPr>
          <w:rFonts w:hAnsi="楷体" w:cs="楷体"/>
          <w:sz w:val="28"/>
          <w:szCs w:val="28"/>
          <w:highlight w:val="yellow"/>
        </w:rPr>
      </w:pPr>
      <w:r>
        <w:rPr>
          <w:rFonts w:hAnsi="楷体" w:cs="楷体" w:hint="eastAsia"/>
          <w:sz w:val="28"/>
          <w:szCs w:val="28"/>
        </w:rPr>
        <w:t>评价分析：</w:t>
      </w:r>
      <w:r>
        <w:rPr>
          <w:rFonts w:hAnsi="楷体" w:cs="楷体" w:hint="eastAsia"/>
          <w:bCs/>
          <w:sz w:val="28"/>
          <w:szCs w:val="28"/>
        </w:rPr>
        <w:t>该</w:t>
      </w:r>
      <w:r>
        <w:rPr>
          <w:rFonts w:hAnsi="楷体" w:cs="楷体" w:hint="eastAsia"/>
          <w:sz w:val="28"/>
          <w:szCs w:val="28"/>
        </w:rPr>
        <w:t>公诉及检察监督项目</w:t>
      </w:r>
      <w:r>
        <w:rPr>
          <w:rFonts w:hAnsi="楷体" w:cs="楷体" w:hint="eastAsia"/>
          <w:bCs/>
          <w:sz w:val="28"/>
          <w:szCs w:val="28"/>
        </w:rPr>
        <w:t>未设定明确的经济效益指标，该项目的实施，不产生直接经济效益，暂按满分计</w:t>
      </w:r>
      <w:r>
        <w:rPr>
          <w:rFonts w:hAnsi="楷体" w:cs="楷体" w:hint="eastAsia"/>
          <w:sz w:val="28"/>
          <w:szCs w:val="28"/>
        </w:rPr>
        <w:t>。</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经评价分析，该指标得分为</w:t>
      </w:r>
      <w:r>
        <w:rPr>
          <w:rFonts w:hAnsi="楷体" w:cs="楷体" w:hint="eastAsia"/>
          <w:sz w:val="28"/>
          <w:szCs w:val="28"/>
        </w:rPr>
        <w:t>3</w:t>
      </w:r>
      <w:r>
        <w:rPr>
          <w:rFonts w:hAnsi="楷体" w:cs="楷体"/>
          <w:sz w:val="28"/>
          <w:szCs w:val="28"/>
        </w:rPr>
        <w:t>分。</w:t>
      </w:r>
    </w:p>
    <w:p w:rsidR="00CB089D" w:rsidRDefault="00CB089D" w:rsidP="007F4D1A">
      <w:pPr>
        <w:pStyle w:val="4"/>
        <w:spacing w:before="0" w:after="0" w:line="360" w:lineRule="auto"/>
        <w:ind w:firstLineChars="200" w:firstLine="562"/>
        <w:rPr>
          <w:rFonts w:ascii="仿宋_GB2312" w:eastAsia="仿宋_GB2312"/>
        </w:rPr>
      </w:pPr>
      <w:r>
        <w:rPr>
          <w:rFonts w:ascii="仿宋_GB2312" w:eastAsia="仿宋_GB2312" w:hint="eastAsia"/>
        </w:rPr>
        <w:t>4.2.2社会效益（3分）</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用于评价项目实施后产生的社会效益。</w:t>
      </w:r>
    </w:p>
    <w:p w:rsidR="00CB089D" w:rsidRDefault="00CB089D" w:rsidP="007F4D1A">
      <w:pPr>
        <w:spacing w:beforeLines="30" w:afterLines="30" w:line="360" w:lineRule="auto"/>
        <w:ind w:firstLineChars="200" w:firstLine="562"/>
        <w:rPr>
          <w:rFonts w:hAnsi="楷体" w:cs="楷体"/>
          <w:sz w:val="28"/>
          <w:szCs w:val="28"/>
          <w:highlight w:val="yellow"/>
        </w:rPr>
      </w:pPr>
      <w:r>
        <w:rPr>
          <w:rFonts w:hAnsi="楷体" w:cs="楷体" w:hint="eastAsia"/>
          <w:b/>
          <w:sz w:val="28"/>
          <w:szCs w:val="28"/>
        </w:rPr>
        <w:t>评分标准：</w:t>
      </w:r>
      <w:r>
        <w:rPr>
          <w:rFonts w:hAnsi="楷体" w:cs="楷体" w:hint="eastAsia"/>
          <w:bCs/>
          <w:sz w:val="28"/>
          <w:szCs w:val="28"/>
        </w:rPr>
        <w:t>完成设定目标得3分，完成率少于计划目标得0分</w:t>
      </w:r>
    </w:p>
    <w:p w:rsidR="00CB089D" w:rsidRDefault="00CB089D" w:rsidP="007F4D1A">
      <w:pPr>
        <w:spacing w:beforeLines="30" w:afterLines="30" w:line="360" w:lineRule="auto"/>
        <w:ind w:firstLineChars="200" w:firstLine="562"/>
        <w:rPr>
          <w:rFonts w:hAnsi="楷体" w:cs="楷体"/>
          <w:bCs/>
          <w:sz w:val="28"/>
          <w:szCs w:val="28"/>
          <w:highlight w:val="yellow"/>
        </w:rPr>
      </w:pPr>
      <w:r>
        <w:rPr>
          <w:rFonts w:hAnsi="楷体" w:cs="楷体" w:hint="eastAsia"/>
          <w:b/>
          <w:sz w:val="28"/>
          <w:szCs w:val="28"/>
        </w:rPr>
        <w:t>评价分析：</w:t>
      </w:r>
      <w:r>
        <w:rPr>
          <w:rFonts w:hAnsi="楷体" w:cs="楷体" w:hint="eastAsia"/>
          <w:bCs/>
          <w:sz w:val="28"/>
          <w:szCs w:val="28"/>
        </w:rPr>
        <w:t>该</w:t>
      </w:r>
      <w:r>
        <w:rPr>
          <w:rFonts w:hAnsi="楷体" w:cs="楷体" w:hint="eastAsia"/>
          <w:sz w:val="28"/>
          <w:szCs w:val="28"/>
        </w:rPr>
        <w:t>公诉及检察监督项目</w:t>
      </w:r>
      <w:r>
        <w:rPr>
          <w:rFonts w:hAnsi="楷体" w:cs="楷体" w:hint="eastAsia"/>
          <w:bCs/>
          <w:sz w:val="28"/>
          <w:szCs w:val="28"/>
        </w:rPr>
        <w:t>设定了明确的</w:t>
      </w:r>
      <w:r>
        <w:rPr>
          <w:rFonts w:hint="eastAsia"/>
          <w:sz w:val="28"/>
          <w:szCs w:val="28"/>
        </w:rPr>
        <w:t>社会</w:t>
      </w:r>
      <w:r>
        <w:rPr>
          <w:rFonts w:hAnsi="楷体" w:cs="楷体" w:hint="eastAsia"/>
          <w:bCs/>
          <w:sz w:val="28"/>
          <w:szCs w:val="28"/>
        </w:rPr>
        <w:t>效益指标。设定目标：符合立案标准95%，该</w:t>
      </w:r>
      <w:r>
        <w:rPr>
          <w:rFonts w:hAnsi="楷体" w:cs="楷体" w:hint="eastAsia"/>
          <w:sz w:val="28"/>
          <w:szCs w:val="28"/>
        </w:rPr>
        <w:t>公诉及检察监督项目实施</w:t>
      </w:r>
      <w:r>
        <w:rPr>
          <w:rFonts w:hAnsi="楷体" w:cs="楷体" w:hint="eastAsia"/>
          <w:bCs/>
          <w:sz w:val="28"/>
          <w:szCs w:val="28"/>
        </w:rPr>
        <w:t>后，符合立案标准为100%</w:t>
      </w:r>
      <w:r>
        <w:rPr>
          <w:rFonts w:hAnsi="仿宋_GB2312" w:cs="仿宋_GB2312" w:hint="eastAsia"/>
          <w:sz w:val="28"/>
          <w:szCs w:val="28"/>
        </w:rPr>
        <w:t>。</w:t>
      </w:r>
    </w:p>
    <w:p w:rsidR="00CB089D" w:rsidRDefault="00CB089D" w:rsidP="00CB089D">
      <w:pPr>
        <w:spacing w:line="360" w:lineRule="auto"/>
        <w:ind w:firstLineChars="200" w:firstLine="560"/>
        <w:rPr>
          <w:rFonts w:hAnsi="楷体" w:cs="楷体"/>
          <w:sz w:val="28"/>
          <w:szCs w:val="28"/>
        </w:rPr>
      </w:pPr>
      <w:r>
        <w:rPr>
          <w:rFonts w:hAnsi="楷体" w:cs="楷体" w:hint="eastAsia"/>
          <w:bCs/>
          <w:sz w:val="28"/>
          <w:szCs w:val="28"/>
        </w:rPr>
        <w:t>综上所述，本项目实施具有良好的社会效益。</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3</w:t>
      </w:r>
      <w:r>
        <w:rPr>
          <w:rFonts w:hAnsi="楷体" w:cs="楷体"/>
          <w:sz w:val="28"/>
          <w:szCs w:val="28"/>
        </w:rPr>
        <w:t>分。</w:t>
      </w:r>
    </w:p>
    <w:p w:rsidR="00CB089D" w:rsidRDefault="00CB089D" w:rsidP="007F4D1A">
      <w:pPr>
        <w:pStyle w:val="4"/>
        <w:spacing w:before="0" w:after="0" w:line="360" w:lineRule="auto"/>
        <w:ind w:firstLineChars="200" w:firstLine="562"/>
        <w:rPr>
          <w:rFonts w:ascii="仿宋_GB2312" w:eastAsia="仿宋_GB2312"/>
          <w:kern w:val="0"/>
        </w:rPr>
      </w:pPr>
      <w:r>
        <w:rPr>
          <w:rFonts w:ascii="仿宋_GB2312" w:eastAsia="仿宋_GB2312" w:hint="eastAsia"/>
          <w:kern w:val="0"/>
        </w:rPr>
        <w:t>4.2.3生态效益</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用于评价项目实施后产生的生态效益。</w:t>
      </w:r>
    </w:p>
    <w:p w:rsidR="00CB089D" w:rsidRDefault="00CB089D" w:rsidP="007F4D1A">
      <w:pPr>
        <w:spacing w:line="360" w:lineRule="auto"/>
        <w:ind w:firstLineChars="200" w:firstLine="562"/>
        <w:rPr>
          <w:rFonts w:hAnsi="楷体" w:cs="楷体"/>
          <w:sz w:val="28"/>
          <w:szCs w:val="28"/>
          <w:highlight w:val="yellow"/>
        </w:rPr>
      </w:pPr>
      <w:r>
        <w:rPr>
          <w:rFonts w:hAnsi="楷体" w:cs="楷体" w:hint="eastAsia"/>
          <w:b/>
          <w:sz w:val="28"/>
          <w:szCs w:val="28"/>
        </w:rPr>
        <w:t>评分标准：</w:t>
      </w:r>
      <w:r>
        <w:rPr>
          <w:rFonts w:hAnsi="楷体" w:cs="楷体" w:hint="eastAsia"/>
          <w:bCs/>
          <w:sz w:val="28"/>
          <w:szCs w:val="28"/>
        </w:rPr>
        <w:t>完成设定目标得3分，完成率少于计划目标得0分</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评价分析：</w:t>
      </w:r>
      <w:r>
        <w:rPr>
          <w:rFonts w:hAnsi="楷体" w:cs="楷体" w:hint="eastAsia"/>
          <w:bCs/>
          <w:sz w:val="28"/>
          <w:szCs w:val="28"/>
        </w:rPr>
        <w:t>该项目未设定生态效益指标，该项目的实施，不产生直接生态效益，暂按满分计</w:t>
      </w:r>
      <w:r>
        <w:rPr>
          <w:rFonts w:hAnsi="楷体" w:cs="楷体" w:hint="eastAsia"/>
          <w:sz w:val="28"/>
          <w:szCs w:val="28"/>
        </w:rPr>
        <w:t>。</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3</w:t>
      </w:r>
      <w:r>
        <w:rPr>
          <w:rFonts w:hAnsi="楷体" w:cs="楷体"/>
          <w:sz w:val="28"/>
          <w:szCs w:val="28"/>
        </w:rPr>
        <w:t>分。</w:t>
      </w:r>
    </w:p>
    <w:p w:rsidR="00CB089D" w:rsidRDefault="00CB089D" w:rsidP="007F4D1A">
      <w:pPr>
        <w:pStyle w:val="4"/>
        <w:spacing w:before="0" w:after="0" w:line="360" w:lineRule="auto"/>
        <w:ind w:firstLineChars="200" w:firstLine="562"/>
        <w:rPr>
          <w:rFonts w:ascii="仿宋_GB2312" w:eastAsia="仿宋_GB2312"/>
          <w:kern w:val="0"/>
        </w:rPr>
      </w:pPr>
      <w:r>
        <w:rPr>
          <w:rFonts w:ascii="仿宋_GB2312" w:eastAsia="仿宋_GB2312" w:hAnsi="楷体" w:hint="eastAsia"/>
        </w:rPr>
        <w:lastRenderedPageBreak/>
        <w:t>4.2.4可持续影响</w:t>
      </w:r>
      <w:r>
        <w:rPr>
          <w:rFonts w:ascii="仿宋_GB2312" w:eastAsia="仿宋_GB2312" w:hint="eastAsia"/>
          <w:kern w:val="0"/>
        </w:rPr>
        <w:t>（3分）</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项目实施政策、资金、人员机构安排和管理措施等影响事项持续发展的因素，以及事项实施对人、环境、资源是否带来可持续发展影响。</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评分标准：</w:t>
      </w:r>
      <w:r>
        <w:rPr>
          <w:rFonts w:hAnsi="楷体" w:cs="楷体" w:hint="eastAsia"/>
          <w:bCs/>
          <w:sz w:val="28"/>
          <w:szCs w:val="28"/>
        </w:rPr>
        <w:t>完成设定目标得3分，完成率少于计划目标得0分。</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评价分析：</w:t>
      </w:r>
      <w:r>
        <w:rPr>
          <w:rFonts w:hAnsi="楷体" w:cs="楷体" w:hint="eastAsia"/>
          <w:sz w:val="28"/>
          <w:szCs w:val="28"/>
        </w:rPr>
        <w:t>该项目未设定可持续性影响效益指标，扣1分。公诉及检察监督人民检察院的基本职责，公诉及监督检查项目是海南省人民检察院的经常性项目，设立公诉及检察监督项目，是人民检察院正确履职的基本表现。</w:t>
      </w:r>
    </w:p>
    <w:p w:rsidR="00CB089D" w:rsidRDefault="00CB089D" w:rsidP="007F4D1A">
      <w:pPr>
        <w:spacing w:line="360" w:lineRule="auto"/>
        <w:ind w:firstLineChars="200" w:firstLine="562"/>
        <w:rPr>
          <w:rFonts w:hAnsi="楷体" w:cs="楷体"/>
          <w:sz w:val="28"/>
          <w:szCs w:val="28"/>
        </w:rPr>
      </w:pPr>
      <w:r>
        <w:rPr>
          <w:rFonts w:hAnsi="楷体" w:cs="楷体" w:hint="eastAsia"/>
          <w:b/>
          <w:sz w:val="28"/>
          <w:szCs w:val="28"/>
        </w:rPr>
        <w:t>评价得分：</w:t>
      </w:r>
      <w:r>
        <w:rPr>
          <w:rFonts w:hAnsi="楷体" w:cs="楷体"/>
          <w:sz w:val="28"/>
          <w:szCs w:val="28"/>
        </w:rPr>
        <w:t>经评价分析，该指标综合得分为</w:t>
      </w:r>
      <w:r>
        <w:rPr>
          <w:rFonts w:hAnsi="楷体" w:cs="楷体" w:hint="eastAsia"/>
          <w:sz w:val="28"/>
          <w:szCs w:val="28"/>
        </w:rPr>
        <w:t>3</w:t>
      </w:r>
      <w:r>
        <w:rPr>
          <w:rFonts w:hAnsi="楷体" w:cs="楷体"/>
          <w:sz w:val="28"/>
          <w:szCs w:val="28"/>
        </w:rPr>
        <w:t>分。</w:t>
      </w:r>
    </w:p>
    <w:p w:rsidR="00CB089D" w:rsidRDefault="00CB089D" w:rsidP="007F4D1A">
      <w:pPr>
        <w:pStyle w:val="4"/>
        <w:spacing w:before="0" w:after="0" w:line="360" w:lineRule="auto"/>
        <w:ind w:firstLineChars="200" w:firstLine="562"/>
        <w:rPr>
          <w:rFonts w:ascii="仿宋_GB2312" w:eastAsia="仿宋_GB2312"/>
        </w:rPr>
      </w:pPr>
      <w:r>
        <w:rPr>
          <w:rFonts w:ascii="仿宋_GB2312" w:eastAsia="仿宋_GB2312" w:hint="eastAsia"/>
        </w:rPr>
        <w:t>4.2.5社会满意度（分值6分）</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通过对服务对象发放调查问卷，通过问卷调查了解贴息受益农户对项目实施情况的满意情况。评价要点：</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按照满意度调查的优秀、良好、一般、差、较差、非常差给予该项指标打分。</w:t>
      </w:r>
    </w:p>
    <w:p w:rsidR="00CB089D" w:rsidRDefault="00CB089D" w:rsidP="007F4D1A">
      <w:pPr>
        <w:pBdr>
          <w:top w:val="none" w:sz="0" w:space="0" w:color="000000"/>
          <w:left w:val="none" w:sz="0" w:space="0" w:color="000000"/>
          <w:bottom w:val="none" w:sz="0" w:space="2" w:color="000000"/>
          <w:right w:val="none" w:sz="0" w:space="0" w:color="000000"/>
        </w:pBdr>
        <w:shd w:val="clear" w:color="F5F7EE" w:fill="auto"/>
        <w:autoSpaceDN w:val="0"/>
        <w:spacing w:line="360" w:lineRule="auto"/>
        <w:ind w:firstLineChars="200" w:firstLine="562"/>
        <w:rPr>
          <w:rFonts w:hAnsi="楷体" w:cs="楷体"/>
          <w:b/>
          <w:sz w:val="28"/>
          <w:szCs w:val="28"/>
        </w:rPr>
      </w:pPr>
      <w:r>
        <w:rPr>
          <w:rFonts w:hAnsi="楷体" w:cs="楷体" w:hint="eastAsia"/>
          <w:b/>
          <w:sz w:val="28"/>
          <w:szCs w:val="28"/>
        </w:rPr>
        <w:t>解释说明：</w:t>
      </w:r>
    </w:p>
    <w:p w:rsidR="00CB089D" w:rsidRDefault="00CB089D" w:rsidP="00CB089D">
      <w:pPr>
        <w:pBdr>
          <w:top w:val="none" w:sz="0" w:space="0" w:color="000000"/>
          <w:left w:val="none" w:sz="0" w:space="0" w:color="000000"/>
          <w:bottom w:val="none" w:sz="0" w:space="2" w:color="000000"/>
          <w:right w:val="none" w:sz="0" w:space="0" w:color="000000"/>
        </w:pBdr>
        <w:shd w:val="clear" w:color="F5F7EE" w:fill="auto"/>
        <w:autoSpaceDN w:val="0"/>
        <w:spacing w:line="360" w:lineRule="auto"/>
        <w:ind w:firstLineChars="200" w:firstLine="560"/>
        <w:rPr>
          <w:rFonts w:hAnsi="楷体" w:cs="楷体"/>
          <w:sz w:val="28"/>
          <w:szCs w:val="28"/>
        </w:rPr>
      </w:pPr>
      <w:r>
        <w:rPr>
          <w:rFonts w:hAnsi="楷体" w:cs="楷体" w:hint="eastAsia"/>
          <w:sz w:val="28"/>
          <w:szCs w:val="28"/>
        </w:rPr>
        <w:t>（1）问卷设置</w:t>
      </w:r>
    </w:p>
    <w:p w:rsidR="00CB089D" w:rsidRDefault="00CB089D" w:rsidP="00CB089D">
      <w:pPr>
        <w:pBdr>
          <w:top w:val="none" w:sz="0" w:space="0" w:color="000000"/>
          <w:left w:val="none" w:sz="0" w:space="0" w:color="000000"/>
          <w:bottom w:val="none" w:sz="0" w:space="2" w:color="000000"/>
          <w:right w:val="none" w:sz="0" w:space="0" w:color="000000"/>
        </w:pBdr>
        <w:shd w:val="clear" w:color="F5F7EE" w:fill="auto"/>
        <w:autoSpaceDN w:val="0"/>
        <w:spacing w:line="360" w:lineRule="auto"/>
        <w:ind w:firstLineChars="200" w:firstLine="560"/>
        <w:rPr>
          <w:rFonts w:hAnsi="楷体" w:cs="楷体"/>
          <w:sz w:val="28"/>
          <w:szCs w:val="28"/>
        </w:rPr>
      </w:pPr>
      <w:r>
        <w:rPr>
          <w:rFonts w:hAnsi="楷体" w:cs="楷体" w:hint="eastAsia"/>
          <w:sz w:val="28"/>
          <w:szCs w:val="28"/>
        </w:rPr>
        <w:t>本次问卷向服务对象发放30份，每份问卷设置10个问题，每题最高得分为10分，总分为100分。每个题目评价量化分的设定为从左至右依次递减分别为10分、8分、6分、2分和0分。</w:t>
      </w:r>
    </w:p>
    <w:p w:rsidR="00CB089D" w:rsidRDefault="00CB089D" w:rsidP="00CB089D">
      <w:pPr>
        <w:pBdr>
          <w:top w:val="none" w:sz="0" w:space="0" w:color="000000"/>
          <w:left w:val="none" w:sz="0" w:space="0" w:color="000000"/>
          <w:bottom w:val="none" w:sz="0" w:space="2" w:color="000000"/>
          <w:right w:val="none" w:sz="0" w:space="0" w:color="000000"/>
        </w:pBdr>
        <w:shd w:val="clear" w:color="F5F7EE" w:fill="auto"/>
        <w:autoSpaceDN w:val="0"/>
        <w:spacing w:line="360" w:lineRule="auto"/>
        <w:ind w:firstLineChars="150" w:firstLine="420"/>
        <w:rPr>
          <w:rFonts w:hAnsi="楷体" w:cs="楷体"/>
          <w:sz w:val="28"/>
          <w:szCs w:val="28"/>
        </w:rPr>
      </w:pPr>
      <w:r>
        <w:rPr>
          <w:rFonts w:hAnsi="楷体" w:cs="楷体" w:hint="eastAsia"/>
          <w:sz w:val="28"/>
          <w:szCs w:val="28"/>
        </w:rPr>
        <w:t>（2）最终得分取所有问卷得分的平均得分。</w:t>
      </w:r>
    </w:p>
    <w:p w:rsidR="00CB089D" w:rsidRDefault="00CB089D" w:rsidP="00CB089D">
      <w:pPr>
        <w:pBdr>
          <w:top w:val="none" w:sz="0" w:space="0" w:color="000000"/>
          <w:left w:val="none" w:sz="0" w:space="0" w:color="000000"/>
          <w:bottom w:val="none" w:sz="0" w:space="2" w:color="000000"/>
          <w:right w:val="none" w:sz="0" w:space="0" w:color="000000"/>
        </w:pBdr>
        <w:shd w:val="clear" w:color="F5F7EE" w:fill="auto"/>
        <w:autoSpaceDN w:val="0"/>
        <w:spacing w:line="360" w:lineRule="auto"/>
        <w:ind w:firstLineChars="150" w:firstLine="420"/>
        <w:rPr>
          <w:rFonts w:hAnsi="楷体" w:cs="楷体"/>
          <w:sz w:val="28"/>
          <w:szCs w:val="28"/>
        </w:rPr>
      </w:pPr>
      <w:r>
        <w:rPr>
          <w:rFonts w:hAnsi="楷体" w:cs="楷体" w:hint="eastAsia"/>
          <w:sz w:val="28"/>
          <w:szCs w:val="28"/>
        </w:rPr>
        <w:t>（3）评价标准</w:t>
      </w:r>
    </w:p>
    <w:p w:rsidR="00CB089D" w:rsidRDefault="00CB089D" w:rsidP="00CB089D">
      <w:pPr>
        <w:pBdr>
          <w:top w:val="none" w:sz="0" w:space="0" w:color="000000"/>
          <w:left w:val="none" w:sz="0" w:space="0" w:color="000000"/>
          <w:bottom w:val="none" w:sz="0" w:space="2" w:color="000000"/>
          <w:right w:val="none" w:sz="0" w:space="0" w:color="000000"/>
        </w:pBdr>
        <w:shd w:val="clear" w:color="F5F7EE" w:fill="auto"/>
        <w:autoSpaceDN w:val="0"/>
        <w:spacing w:line="360" w:lineRule="auto"/>
        <w:ind w:firstLineChars="200" w:firstLine="560"/>
        <w:rPr>
          <w:rFonts w:hAnsi="楷体" w:cs="楷体"/>
          <w:sz w:val="28"/>
          <w:szCs w:val="28"/>
        </w:rPr>
      </w:pPr>
      <w:r>
        <w:rPr>
          <w:rFonts w:hAnsi="楷体" w:cs="楷体" w:hint="eastAsia"/>
          <w:sz w:val="28"/>
          <w:szCs w:val="28"/>
        </w:rPr>
        <w:lastRenderedPageBreak/>
        <w:t>最终得分共划分六个区间标准，优秀6分（≥90%）；良好5分（≥85%，&lt;90%）；一般4分（≥80%，&lt;85%）；差3分（≥70%，&lt;80%）；较差2分（≥60%，&lt;70%）,非常差0分（&lt;60%）。</w:t>
      </w:r>
    </w:p>
    <w:p w:rsidR="00CB089D" w:rsidRDefault="00CB089D" w:rsidP="007F4D1A">
      <w:pPr>
        <w:pBdr>
          <w:top w:val="none" w:sz="0" w:space="0" w:color="000000"/>
          <w:left w:val="none" w:sz="0" w:space="0" w:color="000000"/>
          <w:bottom w:val="none" w:sz="0" w:space="2" w:color="000000"/>
          <w:right w:val="none" w:sz="0" w:space="0" w:color="000000"/>
        </w:pBdr>
        <w:shd w:val="clear" w:color="F5F7EE" w:fill="auto"/>
        <w:autoSpaceDN w:val="0"/>
        <w:spacing w:line="360" w:lineRule="auto"/>
        <w:ind w:firstLineChars="200" w:firstLine="562"/>
        <w:rPr>
          <w:rFonts w:hAnsi="楷体" w:cs="楷体"/>
          <w:sz w:val="24"/>
        </w:rPr>
      </w:pPr>
      <w:r>
        <w:rPr>
          <w:rFonts w:hAnsi="楷体" w:cs="楷体" w:hint="eastAsia"/>
          <w:b/>
          <w:sz w:val="28"/>
          <w:szCs w:val="28"/>
        </w:rPr>
        <w:t>数据来源：</w:t>
      </w:r>
      <w:r>
        <w:rPr>
          <w:rFonts w:hAnsi="楷体" w:cs="楷体" w:hint="eastAsia"/>
          <w:sz w:val="28"/>
          <w:szCs w:val="28"/>
        </w:rPr>
        <w:t>本次评价发放服务对象发放50份，其中收回50份，有效问卷50份，调查结果列示如下：</w:t>
      </w:r>
    </w:p>
    <w:tbl>
      <w:tblPr>
        <w:tblW w:w="8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5"/>
        <w:gridCol w:w="4090"/>
      </w:tblGrid>
      <w:tr w:rsidR="00CB089D" w:rsidTr="009B3901">
        <w:trPr>
          <w:trHeight w:val="879"/>
          <w:jc w:val="center"/>
        </w:trPr>
        <w:tc>
          <w:tcPr>
            <w:tcW w:w="4235" w:type="dxa"/>
            <w:tcBorders>
              <w:left w:val="nil"/>
              <w:bottom w:val="dotted" w:sz="4" w:space="0" w:color="auto"/>
              <w:right w:val="dotted" w:sz="4" w:space="0" w:color="auto"/>
              <w:tl2br w:val="single" w:sz="4" w:space="0" w:color="auto"/>
              <w:tr2bl w:val="nil"/>
            </w:tcBorders>
            <w:vAlign w:val="center"/>
          </w:tcPr>
          <w:p w:rsidR="00CB089D" w:rsidRDefault="00CB089D" w:rsidP="009B3901">
            <w:pPr>
              <w:spacing w:line="560" w:lineRule="exact"/>
              <w:jc w:val="center"/>
              <w:rPr>
                <w:rFonts w:hAnsi="仿宋" w:cs="仿宋"/>
                <w:szCs w:val="21"/>
              </w:rPr>
            </w:pPr>
            <w:r>
              <w:rPr>
                <w:rFonts w:hAnsi="仿宋" w:cs="仿宋"/>
                <w:szCs w:val="21"/>
              </w:rPr>
              <w:t>调查对象</w:t>
            </w:r>
          </w:p>
          <w:p w:rsidR="00CB089D" w:rsidRDefault="00CB089D" w:rsidP="00CB089D">
            <w:pPr>
              <w:spacing w:line="560" w:lineRule="exact"/>
              <w:ind w:firstLineChars="300" w:firstLine="960"/>
              <w:rPr>
                <w:rFonts w:hAnsi="仿宋" w:cs="仿宋"/>
                <w:szCs w:val="21"/>
              </w:rPr>
            </w:pPr>
            <w:r>
              <w:rPr>
                <w:rFonts w:hAnsi="仿宋" w:cs="仿宋" w:hint="eastAsia"/>
                <w:szCs w:val="21"/>
              </w:rPr>
              <w:t>类 别</w:t>
            </w:r>
          </w:p>
        </w:tc>
        <w:tc>
          <w:tcPr>
            <w:tcW w:w="4090" w:type="dxa"/>
            <w:tcBorders>
              <w:left w:val="dotted" w:sz="4" w:space="0" w:color="auto"/>
              <w:bottom w:val="dotted" w:sz="4" w:space="0" w:color="auto"/>
              <w:right w:val="nil"/>
              <w:tl2br w:val="nil"/>
              <w:tr2bl w:val="nil"/>
            </w:tcBorders>
            <w:vAlign w:val="center"/>
          </w:tcPr>
          <w:p w:rsidR="00CB089D" w:rsidRDefault="00CB089D" w:rsidP="009B3901">
            <w:pPr>
              <w:jc w:val="center"/>
              <w:rPr>
                <w:rFonts w:hAnsi="仿宋" w:cs="仿宋"/>
                <w:szCs w:val="21"/>
              </w:rPr>
            </w:pPr>
            <w:r>
              <w:rPr>
                <w:rFonts w:hAnsi="仿宋" w:cs="仿宋" w:hint="eastAsia"/>
                <w:szCs w:val="21"/>
              </w:rPr>
              <w:t xml:space="preserve">  服务对象</w:t>
            </w:r>
          </w:p>
        </w:tc>
      </w:tr>
      <w:tr w:rsidR="00CB089D" w:rsidTr="009B3901">
        <w:trPr>
          <w:trHeight w:hRule="exact" w:val="403"/>
          <w:jc w:val="center"/>
        </w:trPr>
        <w:tc>
          <w:tcPr>
            <w:tcW w:w="4235" w:type="dxa"/>
            <w:tcBorders>
              <w:top w:val="dotted" w:sz="4" w:space="0" w:color="auto"/>
              <w:left w:val="nil"/>
              <w:bottom w:val="dotted" w:sz="4" w:space="0" w:color="auto"/>
              <w:right w:val="dotted" w:sz="4" w:space="0" w:color="auto"/>
              <w:tl2br w:val="nil"/>
              <w:tr2bl w:val="nil"/>
            </w:tcBorders>
            <w:vAlign w:val="center"/>
          </w:tcPr>
          <w:p w:rsidR="00CB089D" w:rsidRDefault="00CB089D" w:rsidP="009B3901">
            <w:pPr>
              <w:rPr>
                <w:rFonts w:hAnsi="仿宋" w:cs="仿宋"/>
                <w:szCs w:val="21"/>
              </w:rPr>
            </w:pPr>
            <w:r>
              <w:rPr>
                <w:rFonts w:hAnsi="仿宋" w:cs="仿宋" w:hint="eastAsia"/>
                <w:szCs w:val="21"/>
              </w:rPr>
              <w:t>非常满意</w:t>
            </w:r>
          </w:p>
        </w:tc>
        <w:tc>
          <w:tcPr>
            <w:tcW w:w="4090" w:type="dxa"/>
            <w:tcBorders>
              <w:top w:val="dotted" w:sz="4" w:space="0" w:color="auto"/>
              <w:left w:val="dotted" w:sz="4" w:space="0" w:color="auto"/>
              <w:bottom w:val="dotted" w:sz="4" w:space="0" w:color="auto"/>
              <w:right w:val="nil"/>
              <w:tl2br w:val="nil"/>
              <w:tr2bl w:val="nil"/>
            </w:tcBorders>
            <w:vAlign w:val="center"/>
          </w:tcPr>
          <w:p w:rsidR="00CB089D" w:rsidRDefault="00CB089D" w:rsidP="009B3901">
            <w:pPr>
              <w:jc w:val="center"/>
              <w:rPr>
                <w:rFonts w:ascii="Arial Narrow" w:hAnsi="Arial Narrow" w:cs="仿宋"/>
                <w:sz w:val="18"/>
                <w:szCs w:val="18"/>
              </w:rPr>
            </w:pPr>
            <w:r>
              <w:rPr>
                <w:rFonts w:ascii="Arial Narrow" w:hAnsi="Arial Narrow" w:cs="仿宋" w:hint="eastAsia"/>
                <w:sz w:val="18"/>
                <w:szCs w:val="18"/>
              </w:rPr>
              <w:t>66.67</w:t>
            </w:r>
          </w:p>
        </w:tc>
      </w:tr>
      <w:tr w:rsidR="00CB089D" w:rsidTr="009B3901">
        <w:trPr>
          <w:trHeight w:hRule="exact" w:val="439"/>
          <w:jc w:val="center"/>
        </w:trPr>
        <w:tc>
          <w:tcPr>
            <w:tcW w:w="4235" w:type="dxa"/>
            <w:tcBorders>
              <w:top w:val="dotted" w:sz="4" w:space="0" w:color="auto"/>
              <w:left w:val="nil"/>
              <w:bottom w:val="dotted" w:sz="4" w:space="0" w:color="auto"/>
              <w:right w:val="dotted" w:sz="4" w:space="0" w:color="auto"/>
              <w:tl2br w:val="nil"/>
              <w:tr2bl w:val="nil"/>
            </w:tcBorders>
            <w:vAlign w:val="center"/>
          </w:tcPr>
          <w:p w:rsidR="00CB089D" w:rsidRDefault="00CB089D" w:rsidP="009B3901">
            <w:pPr>
              <w:rPr>
                <w:rFonts w:hAnsi="仿宋" w:cs="仿宋"/>
                <w:szCs w:val="21"/>
              </w:rPr>
            </w:pPr>
            <w:r>
              <w:rPr>
                <w:rFonts w:hAnsi="仿宋" w:cs="仿宋" w:hint="eastAsia"/>
                <w:szCs w:val="21"/>
              </w:rPr>
              <w:t>满意</w:t>
            </w:r>
          </w:p>
        </w:tc>
        <w:tc>
          <w:tcPr>
            <w:tcW w:w="4090" w:type="dxa"/>
            <w:tcBorders>
              <w:top w:val="dotted" w:sz="4" w:space="0" w:color="auto"/>
              <w:left w:val="dotted" w:sz="4" w:space="0" w:color="auto"/>
              <w:bottom w:val="dotted" w:sz="4" w:space="0" w:color="auto"/>
              <w:right w:val="nil"/>
              <w:tl2br w:val="nil"/>
              <w:tr2bl w:val="nil"/>
            </w:tcBorders>
            <w:vAlign w:val="center"/>
          </w:tcPr>
          <w:p w:rsidR="00CB089D" w:rsidRDefault="00CB089D" w:rsidP="009B3901">
            <w:pPr>
              <w:jc w:val="center"/>
              <w:rPr>
                <w:rFonts w:ascii="Arial Narrow" w:hAnsi="Arial Narrow" w:cs="仿宋"/>
                <w:sz w:val="18"/>
                <w:szCs w:val="18"/>
              </w:rPr>
            </w:pPr>
            <w:r>
              <w:rPr>
                <w:rFonts w:ascii="Arial Narrow" w:hAnsi="Arial Narrow" w:cs="仿宋" w:hint="eastAsia"/>
                <w:sz w:val="18"/>
                <w:szCs w:val="18"/>
              </w:rPr>
              <w:t>18.67</w:t>
            </w:r>
          </w:p>
        </w:tc>
      </w:tr>
      <w:tr w:rsidR="00CB089D" w:rsidTr="009B3901">
        <w:trPr>
          <w:trHeight w:hRule="exact" w:val="384"/>
          <w:jc w:val="center"/>
        </w:trPr>
        <w:tc>
          <w:tcPr>
            <w:tcW w:w="4235" w:type="dxa"/>
            <w:tcBorders>
              <w:top w:val="dotted" w:sz="4" w:space="0" w:color="auto"/>
              <w:left w:val="nil"/>
              <w:bottom w:val="dotted" w:sz="4" w:space="0" w:color="auto"/>
              <w:right w:val="dotted" w:sz="4" w:space="0" w:color="auto"/>
              <w:tl2br w:val="nil"/>
              <w:tr2bl w:val="nil"/>
            </w:tcBorders>
            <w:vAlign w:val="center"/>
          </w:tcPr>
          <w:p w:rsidR="00CB089D" w:rsidRDefault="00CB089D" w:rsidP="009B3901">
            <w:pPr>
              <w:rPr>
                <w:rFonts w:hAnsi="仿宋" w:cs="仿宋"/>
                <w:szCs w:val="21"/>
              </w:rPr>
            </w:pPr>
            <w:r>
              <w:rPr>
                <w:rFonts w:hAnsi="仿宋" w:cs="仿宋" w:hint="eastAsia"/>
                <w:szCs w:val="21"/>
              </w:rPr>
              <w:t>一般</w:t>
            </w:r>
          </w:p>
        </w:tc>
        <w:tc>
          <w:tcPr>
            <w:tcW w:w="4090" w:type="dxa"/>
            <w:tcBorders>
              <w:top w:val="dotted" w:sz="4" w:space="0" w:color="auto"/>
              <w:left w:val="dotted" w:sz="4" w:space="0" w:color="auto"/>
              <w:bottom w:val="dotted" w:sz="4" w:space="0" w:color="auto"/>
              <w:right w:val="nil"/>
              <w:tl2br w:val="nil"/>
              <w:tr2bl w:val="nil"/>
            </w:tcBorders>
            <w:vAlign w:val="center"/>
          </w:tcPr>
          <w:p w:rsidR="00CB089D" w:rsidRDefault="00CB089D" w:rsidP="009B3901">
            <w:pPr>
              <w:jc w:val="center"/>
              <w:rPr>
                <w:rFonts w:ascii="Arial Narrow" w:hAnsi="Arial Narrow" w:cs="仿宋"/>
                <w:sz w:val="18"/>
                <w:szCs w:val="18"/>
              </w:rPr>
            </w:pPr>
            <w:r>
              <w:rPr>
                <w:rFonts w:ascii="Arial Narrow" w:hAnsi="Arial Narrow" w:cs="仿宋" w:hint="eastAsia"/>
                <w:sz w:val="18"/>
                <w:szCs w:val="18"/>
              </w:rPr>
              <w:t>6.00</w:t>
            </w:r>
          </w:p>
        </w:tc>
      </w:tr>
      <w:tr w:rsidR="00CB089D" w:rsidTr="009B3901">
        <w:trPr>
          <w:trHeight w:hRule="exact" w:val="422"/>
          <w:jc w:val="center"/>
        </w:trPr>
        <w:tc>
          <w:tcPr>
            <w:tcW w:w="4235" w:type="dxa"/>
            <w:tcBorders>
              <w:top w:val="dotted" w:sz="4" w:space="0" w:color="auto"/>
              <w:left w:val="nil"/>
              <w:bottom w:val="dotted" w:sz="4" w:space="0" w:color="auto"/>
              <w:right w:val="dotted" w:sz="4" w:space="0" w:color="auto"/>
              <w:tl2br w:val="nil"/>
              <w:tr2bl w:val="nil"/>
            </w:tcBorders>
            <w:vAlign w:val="center"/>
          </w:tcPr>
          <w:p w:rsidR="00CB089D" w:rsidRDefault="00CB089D" w:rsidP="009B3901">
            <w:pPr>
              <w:rPr>
                <w:rFonts w:hAnsi="仿宋" w:cs="仿宋"/>
                <w:szCs w:val="21"/>
              </w:rPr>
            </w:pPr>
            <w:r>
              <w:rPr>
                <w:rFonts w:hAnsi="仿宋" w:cs="仿宋" w:hint="eastAsia"/>
                <w:szCs w:val="21"/>
              </w:rPr>
              <w:t>不满意</w:t>
            </w:r>
          </w:p>
        </w:tc>
        <w:tc>
          <w:tcPr>
            <w:tcW w:w="4090" w:type="dxa"/>
            <w:tcBorders>
              <w:top w:val="dotted" w:sz="4" w:space="0" w:color="auto"/>
              <w:left w:val="dotted" w:sz="4" w:space="0" w:color="auto"/>
              <w:bottom w:val="dotted" w:sz="4" w:space="0" w:color="auto"/>
              <w:right w:val="nil"/>
              <w:tl2br w:val="nil"/>
              <w:tr2bl w:val="nil"/>
            </w:tcBorders>
            <w:vAlign w:val="center"/>
          </w:tcPr>
          <w:p w:rsidR="00CB089D" w:rsidRDefault="00CB089D" w:rsidP="009B3901">
            <w:pPr>
              <w:jc w:val="center"/>
              <w:rPr>
                <w:rFonts w:ascii="Arial Narrow" w:hAnsi="Arial Narrow" w:cs="仿宋"/>
                <w:sz w:val="18"/>
                <w:szCs w:val="18"/>
              </w:rPr>
            </w:pPr>
            <w:r>
              <w:rPr>
                <w:rFonts w:ascii="Arial Narrow" w:hAnsi="Arial Narrow" w:cs="仿宋"/>
                <w:sz w:val="18"/>
                <w:szCs w:val="18"/>
              </w:rPr>
              <w:t>0.</w:t>
            </w:r>
            <w:r>
              <w:rPr>
                <w:rFonts w:ascii="Arial Narrow" w:hAnsi="Arial Narrow" w:cs="仿宋" w:hint="eastAsia"/>
                <w:sz w:val="18"/>
                <w:szCs w:val="18"/>
              </w:rPr>
              <w:t>00</w:t>
            </w:r>
          </w:p>
        </w:tc>
      </w:tr>
      <w:tr w:rsidR="00CB089D" w:rsidTr="009B3901">
        <w:trPr>
          <w:trHeight w:hRule="exact" w:val="428"/>
          <w:jc w:val="center"/>
        </w:trPr>
        <w:tc>
          <w:tcPr>
            <w:tcW w:w="4235" w:type="dxa"/>
            <w:tcBorders>
              <w:top w:val="dotted" w:sz="4" w:space="0" w:color="auto"/>
              <w:left w:val="nil"/>
              <w:bottom w:val="dotted" w:sz="4" w:space="0" w:color="auto"/>
              <w:right w:val="dotted" w:sz="4" w:space="0" w:color="auto"/>
              <w:tl2br w:val="nil"/>
              <w:tr2bl w:val="nil"/>
            </w:tcBorders>
            <w:vAlign w:val="center"/>
          </w:tcPr>
          <w:p w:rsidR="00CB089D" w:rsidRDefault="00CB089D" w:rsidP="009B3901">
            <w:pPr>
              <w:rPr>
                <w:rFonts w:hAnsi="仿宋" w:cs="仿宋"/>
                <w:szCs w:val="21"/>
              </w:rPr>
            </w:pPr>
            <w:r>
              <w:rPr>
                <w:rFonts w:hAnsi="仿宋" w:cs="仿宋" w:hint="eastAsia"/>
                <w:szCs w:val="21"/>
              </w:rPr>
              <w:t>很不满意</w:t>
            </w:r>
          </w:p>
        </w:tc>
        <w:tc>
          <w:tcPr>
            <w:tcW w:w="4090" w:type="dxa"/>
            <w:tcBorders>
              <w:top w:val="dotted" w:sz="4" w:space="0" w:color="auto"/>
              <w:left w:val="dotted" w:sz="4" w:space="0" w:color="auto"/>
              <w:bottom w:val="dotted" w:sz="4" w:space="0" w:color="auto"/>
              <w:right w:val="nil"/>
              <w:tl2br w:val="nil"/>
              <w:tr2bl w:val="nil"/>
            </w:tcBorders>
            <w:vAlign w:val="center"/>
          </w:tcPr>
          <w:p w:rsidR="00CB089D" w:rsidRDefault="00CB089D" w:rsidP="009B3901">
            <w:pPr>
              <w:jc w:val="center"/>
              <w:rPr>
                <w:rFonts w:ascii="Arial Narrow" w:hAnsi="Arial Narrow" w:cs="仿宋"/>
                <w:sz w:val="18"/>
                <w:szCs w:val="18"/>
              </w:rPr>
            </w:pPr>
            <w:r>
              <w:rPr>
                <w:rFonts w:ascii="Arial Narrow" w:hAnsi="Arial Narrow" w:cs="仿宋"/>
                <w:sz w:val="18"/>
                <w:szCs w:val="18"/>
              </w:rPr>
              <w:t>0.00</w:t>
            </w:r>
          </w:p>
        </w:tc>
      </w:tr>
      <w:tr w:rsidR="00CB089D" w:rsidTr="009B3901">
        <w:trPr>
          <w:trHeight w:hRule="exact" w:val="391"/>
          <w:jc w:val="center"/>
        </w:trPr>
        <w:tc>
          <w:tcPr>
            <w:tcW w:w="4235" w:type="dxa"/>
            <w:tcBorders>
              <w:top w:val="dotted" w:sz="4" w:space="0" w:color="auto"/>
              <w:left w:val="nil"/>
              <w:right w:val="dotted" w:sz="4" w:space="0" w:color="auto"/>
              <w:tl2br w:val="nil"/>
              <w:tr2bl w:val="nil"/>
            </w:tcBorders>
            <w:vAlign w:val="center"/>
          </w:tcPr>
          <w:p w:rsidR="00CB089D" w:rsidRDefault="00CB089D" w:rsidP="009B3901">
            <w:pPr>
              <w:jc w:val="center"/>
              <w:rPr>
                <w:rFonts w:hAnsi="仿宋" w:cs="仿宋"/>
                <w:szCs w:val="21"/>
              </w:rPr>
            </w:pPr>
            <w:r>
              <w:rPr>
                <w:rFonts w:hAnsi="仿宋" w:cs="仿宋" w:hint="eastAsia"/>
                <w:szCs w:val="21"/>
              </w:rPr>
              <w:t>得分</w:t>
            </w:r>
          </w:p>
        </w:tc>
        <w:tc>
          <w:tcPr>
            <w:tcW w:w="4090" w:type="dxa"/>
            <w:tcBorders>
              <w:top w:val="dotted" w:sz="4" w:space="0" w:color="auto"/>
              <w:left w:val="dotted" w:sz="4" w:space="0" w:color="auto"/>
              <w:right w:val="nil"/>
              <w:tl2br w:val="nil"/>
              <w:tr2bl w:val="nil"/>
            </w:tcBorders>
            <w:vAlign w:val="center"/>
          </w:tcPr>
          <w:p w:rsidR="00CB089D" w:rsidRDefault="00CB089D" w:rsidP="009B3901">
            <w:pPr>
              <w:jc w:val="center"/>
              <w:rPr>
                <w:rFonts w:ascii="Arial Narrow" w:hAnsi="Arial Narrow" w:cs="仿宋"/>
                <w:sz w:val="18"/>
                <w:szCs w:val="18"/>
              </w:rPr>
            </w:pPr>
            <w:r>
              <w:rPr>
                <w:rFonts w:ascii="Arial Narrow" w:hAnsi="Arial Narrow" w:cs="仿宋" w:hint="eastAsia"/>
                <w:sz w:val="18"/>
                <w:szCs w:val="18"/>
              </w:rPr>
              <w:t>91.34</w:t>
            </w:r>
          </w:p>
        </w:tc>
      </w:tr>
    </w:tbl>
    <w:p w:rsidR="00CB089D" w:rsidRDefault="00CB089D" w:rsidP="007F4D1A">
      <w:pPr>
        <w:spacing w:line="360" w:lineRule="auto"/>
        <w:ind w:firstLineChars="200" w:firstLine="562"/>
        <w:rPr>
          <w:rFonts w:hAnsi="楷体" w:cs="楷体"/>
          <w:b/>
          <w:bCs/>
          <w:sz w:val="28"/>
          <w:szCs w:val="28"/>
        </w:rPr>
      </w:pPr>
      <w:r>
        <w:rPr>
          <w:rFonts w:hAnsi="楷体" w:cs="楷体" w:hint="eastAsia"/>
          <w:b/>
          <w:bCs/>
          <w:sz w:val="28"/>
          <w:szCs w:val="28"/>
        </w:rPr>
        <w:t>评价得分：6分</w:t>
      </w:r>
    </w:p>
    <w:p w:rsidR="00CB089D" w:rsidRPr="00CB089D" w:rsidRDefault="00CB089D" w:rsidP="007F4D1A">
      <w:pPr>
        <w:spacing w:line="360" w:lineRule="auto"/>
        <w:ind w:firstLineChars="200" w:firstLine="562"/>
        <w:rPr>
          <w:rFonts w:hAnsi="楷体" w:cs="楷体"/>
          <w:sz w:val="28"/>
          <w:szCs w:val="28"/>
        </w:rPr>
      </w:pPr>
      <w:r>
        <w:rPr>
          <w:rFonts w:hAnsi="楷体" w:cs="楷体" w:hint="eastAsia"/>
          <w:b/>
          <w:bCs/>
          <w:sz w:val="28"/>
          <w:szCs w:val="28"/>
        </w:rPr>
        <w:t>绩效分析：</w:t>
      </w:r>
      <w:r>
        <w:rPr>
          <w:rFonts w:hAnsi="楷体" w:cs="楷体" w:hint="eastAsia"/>
          <w:sz w:val="28"/>
          <w:szCs w:val="28"/>
        </w:rPr>
        <w:t>通过对服务对象进行随机的问卷调查，本次问卷调查共有10个问题，调查问卷普遍反映良好，服务对象对项目预期及实施后的效果反映良好。</w:t>
      </w:r>
    </w:p>
    <w:p w:rsidR="00116E1F" w:rsidRDefault="00116E1F" w:rsidP="00116E1F">
      <w:pPr>
        <w:spacing w:line="552" w:lineRule="exact"/>
        <w:ind w:firstLineChars="200" w:firstLine="640"/>
        <w:rPr>
          <w:rFonts w:ascii="黑体" w:eastAsia="黑体" w:hAnsi="仿宋"/>
          <w:szCs w:val="32"/>
        </w:rPr>
      </w:pPr>
      <w:r w:rsidRPr="00FD235A">
        <w:rPr>
          <w:rFonts w:ascii="黑体" w:eastAsia="黑体" w:hAnsi="仿宋" w:hint="eastAsia"/>
          <w:szCs w:val="32"/>
        </w:rPr>
        <w:t>五、主要经验及做法、存在的问题及原因分析</w:t>
      </w:r>
    </w:p>
    <w:p w:rsidR="00CB089D" w:rsidRDefault="00CB089D" w:rsidP="007F4D1A">
      <w:pPr>
        <w:pStyle w:val="3"/>
        <w:spacing w:before="0" w:after="0" w:line="360" w:lineRule="auto"/>
        <w:ind w:firstLineChars="200" w:firstLine="562"/>
        <w:rPr>
          <w:sz w:val="28"/>
          <w:szCs w:val="28"/>
        </w:rPr>
      </w:pPr>
      <w:r>
        <w:rPr>
          <w:rFonts w:hint="eastAsia"/>
          <w:sz w:val="28"/>
          <w:szCs w:val="28"/>
        </w:rPr>
        <w:t>5.1</w:t>
      </w:r>
      <w:r>
        <w:rPr>
          <w:rFonts w:hint="eastAsia"/>
          <w:sz w:val="28"/>
          <w:szCs w:val="28"/>
        </w:rPr>
        <w:t>经验教训</w:t>
      </w:r>
    </w:p>
    <w:p w:rsidR="00CB089D" w:rsidRDefault="00CB089D" w:rsidP="007F4D1A">
      <w:pPr>
        <w:pStyle w:val="4"/>
        <w:spacing w:before="0" w:after="0" w:line="360" w:lineRule="auto"/>
        <w:ind w:firstLineChars="200" w:firstLine="562"/>
        <w:rPr>
          <w:rFonts w:ascii="仿宋_GB2312" w:eastAsia="仿宋_GB2312"/>
        </w:rPr>
      </w:pPr>
      <w:r>
        <w:rPr>
          <w:rFonts w:ascii="仿宋_GB2312" w:eastAsia="仿宋_GB2312" w:hint="eastAsia"/>
        </w:rPr>
        <w:t>5.1.1经验</w:t>
      </w:r>
    </w:p>
    <w:p w:rsidR="00CB089D" w:rsidRDefault="00CB089D" w:rsidP="00CB089D">
      <w:pPr>
        <w:widowControl/>
        <w:spacing w:line="360" w:lineRule="auto"/>
        <w:ind w:firstLineChars="200" w:firstLine="560"/>
        <w:rPr>
          <w:rFonts w:hAnsi="楷体" w:cs="楷体"/>
          <w:sz w:val="28"/>
          <w:szCs w:val="28"/>
        </w:rPr>
      </w:pPr>
      <w:r>
        <w:rPr>
          <w:rFonts w:hAnsi="楷体" w:cs="楷体" w:hint="eastAsia"/>
          <w:sz w:val="28"/>
          <w:szCs w:val="28"/>
        </w:rPr>
        <w:t>5.1.1.1在决策方面，公诉及检察监督项目的立项符合法律法规、相关政策、发展规划以及部门职责；项目申请、设立过程符合相关要求；资金分配合理规范。</w:t>
      </w:r>
    </w:p>
    <w:p w:rsidR="00CB089D" w:rsidRDefault="00CB089D" w:rsidP="007F4D1A">
      <w:pPr>
        <w:spacing w:beforeLines="30" w:afterLines="30" w:line="360" w:lineRule="auto"/>
        <w:ind w:firstLineChars="200" w:firstLine="560"/>
        <w:rPr>
          <w:rFonts w:hAnsi="楷体" w:cs="楷体"/>
          <w:sz w:val="28"/>
          <w:szCs w:val="28"/>
        </w:rPr>
      </w:pPr>
      <w:r>
        <w:rPr>
          <w:rFonts w:hAnsi="楷体" w:cs="楷体" w:hint="eastAsia"/>
          <w:sz w:val="28"/>
          <w:szCs w:val="28"/>
        </w:rPr>
        <w:t>5.1.1.2在过程方面，资金到位及时，满足公诉及检察监督项目</w:t>
      </w:r>
      <w:r>
        <w:rPr>
          <w:rFonts w:hAnsi="楷体" w:cs="楷体" w:hint="eastAsia"/>
          <w:sz w:val="28"/>
          <w:szCs w:val="28"/>
        </w:rPr>
        <w:lastRenderedPageBreak/>
        <w:t>实施总体对资金总额及资金到位时效的要求；建立健全保障项目顺利实施的财务和业务管理制度；公诉及检察监督项目实施过程基本符合制定的财务和业务管理制度。</w:t>
      </w:r>
    </w:p>
    <w:p w:rsidR="00CB089D" w:rsidRDefault="00CB089D" w:rsidP="007F4D1A">
      <w:pPr>
        <w:widowControl/>
        <w:spacing w:beforeLines="30" w:afterLines="30" w:line="360" w:lineRule="auto"/>
        <w:ind w:firstLineChars="200" w:firstLine="560"/>
        <w:rPr>
          <w:rFonts w:hAnsi="楷体" w:cs="楷体"/>
          <w:sz w:val="28"/>
          <w:szCs w:val="28"/>
        </w:rPr>
      </w:pPr>
      <w:r>
        <w:rPr>
          <w:rFonts w:hAnsi="楷体" w:cs="楷体" w:hint="eastAsia"/>
          <w:sz w:val="28"/>
          <w:szCs w:val="28"/>
        </w:rPr>
        <w:t>5.1.1.3在产出方面，实施完成的公诉及检察监督项目，资金使用金额控制在预算范围内，无超预算超成本实施项目的情况。</w:t>
      </w:r>
    </w:p>
    <w:p w:rsidR="00CB089D" w:rsidRDefault="00CB089D" w:rsidP="00CB089D">
      <w:pPr>
        <w:widowControl/>
        <w:spacing w:line="360" w:lineRule="auto"/>
        <w:ind w:firstLineChars="200" w:firstLine="560"/>
        <w:rPr>
          <w:rFonts w:hAnsi="楷体" w:cs="楷体"/>
          <w:sz w:val="28"/>
          <w:szCs w:val="28"/>
        </w:rPr>
      </w:pPr>
      <w:r>
        <w:rPr>
          <w:rFonts w:hAnsi="楷体" w:cs="楷体" w:hint="eastAsia"/>
          <w:sz w:val="28"/>
          <w:szCs w:val="28"/>
        </w:rPr>
        <w:t>5.1.1.4在效益方面，实施的公诉及检察监督项目比较符合服务对象的需要，服务对象的普遍反映良好。</w:t>
      </w:r>
    </w:p>
    <w:p w:rsidR="00CB089D" w:rsidRDefault="00CB089D" w:rsidP="007F4D1A">
      <w:pPr>
        <w:pStyle w:val="4"/>
        <w:spacing w:before="0" w:after="0" w:line="360" w:lineRule="auto"/>
        <w:ind w:firstLineChars="200" w:firstLine="562"/>
        <w:rPr>
          <w:rFonts w:ascii="仿宋_GB2312" w:eastAsia="仿宋_GB2312"/>
        </w:rPr>
      </w:pPr>
      <w:r>
        <w:rPr>
          <w:rFonts w:ascii="仿宋_GB2312" w:eastAsia="仿宋_GB2312" w:hint="eastAsia"/>
        </w:rPr>
        <w:t>5.1.2教训</w:t>
      </w:r>
      <w:r>
        <w:rPr>
          <w:rFonts w:ascii="仿宋_GB2312" w:eastAsia="仿宋_GB2312" w:hint="eastAsia"/>
        </w:rPr>
        <w:tab/>
      </w:r>
    </w:p>
    <w:p w:rsidR="00CB089D" w:rsidRPr="00CB089D" w:rsidRDefault="00CB089D" w:rsidP="00CB089D">
      <w:pPr>
        <w:widowControl/>
        <w:spacing w:line="360" w:lineRule="auto"/>
        <w:ind w:firstLineChars="200" w:firstLine="560"/>
        <w:rPr>
          <w:rFonts w:hAnsi="楷体" w:cs="楷体"/>
          <w:sz w:val="28"/>
          <w:szCs w:val="28"/>
        </w:rPr>
      </w:pPr>
      <w:r>
        <w:rPr>
          <w:rFonts w:hAnsi="楷体" w:cs="楷体" w:hint="eastAsia"/>
          <w:sz w:val="28"/>
          <w:szCs w:val="28"/>
        </w:rPr>
        <w:t>在效益方面，由于相关绩效目标设定不</w:t>
      </w:r>
      <w:r w:rsidR="009D43F8">
        <w:rPr>
          <w:rFonts w:hAnsi="楷体" w:cs="楷体" w:hint="eastAsia"/>
          <w:sz w:val="28"/>
          <w:szCs w:val="28"/>
        </w:rPr>
        <w:t>够</w:t>
      </w:r>
      <w:r>
        <w:rPr>
          <w:rFonts w:hAnsi="楷体" w:cs="楷体" w:hint="eastAsia"/>
          <w:sz w:val="28"/>
          <w:szCs w:val="28"/>
        </w:rPr>
        <w:t>科学，项目产出未能达到预期效果。</w:t>
      </w:r>
    </w:p>
    <w:p w:rsidR="00116E1F" w:rsidRDefault="00116E1F" w:rsidP="00116E1F">
      <w:pPr>
        <w:spacing w:line="552" w:lineRule="exact"/>
        <w:ind w:firstLineChars="200" w:firstLine="640"/>
        <w:rPr>
          <w:rFonts w:ascii="黑体" w:eastAsia="黑体" w:hAnsi="仿宋"/>
          <w:szCs w:val="32"/>
        </w:rPr>
      </w:pPr>
      <w:r w:rsidRPr="00FD235A">
        <w:rPr>
          <w:rFonts w:ascii="黑体" w:eastAsia="黑体" w:hAnsi="仿宋" w:hint="eastAsia"/>
          <w:szCs w:val="32"/>
        </w:rPr>
        <w:t>六、有关建议</w:t>
      </w:r>
    </w:p>
    <w:p w:rsidR="00CB089D" w:rsidRDefault="00CB089D" w:rsidP="00CB089D">
      <w:pPr>
        <w:spacing w:line="360" w:lineRule="auto"/>
        <w:ind w:firstLineChars="200" w:firstLine="560"/>
        <w:rPr>
          <w:rFonts w:hAnsi="楷体" w:cs="楷体"/>
          <w:sz w:val="28"/>
          <w:szCs w:val="28"/>
        </w:rPr>
      </w:pPr>
      <w:r>
        <w:rPr>
          <w:rFonts w:hAnsi="楷体" w:cs="楷体" w:hint="eastAsia"/>
          <w:sz w:val="28"/>
          <w:szCs w:val="28"/>
        </w:rPr>
        <w:t>建议</w:t>
      </w:r>
      <w:r w:rsidR="008823BC">
        <w:rPr>
          <w:rFonts w:hAnsi="楷体" w:cs="楷体" w:hint="eastAsia"/>
          <w:sz w:val="28"/>
          <w:szCs w:val="28"/>
        </w:rPr>
        <w:t>有关部门</w:t>
      </w:r>
      <w:r>
        <w:rPr>
          <w:rFonts w:hAnsi="楷体" w:cs="楷体" w:hint="eastAsia"/>
          <w:sz w:val="28"/>
          <w:szCs w:val="28"/>
        </w:rPr>
        <w:t>加强绩效目标管理，制定详细、合理、科学的绩效目标，以便于项目实施考核及评价。</w:t>
      </w:r>
    </w:p>
    <w:p w:rsidR="00CB089D" w:rsidRPr="00CB089D" w:rsidRDefault="00CB089D" w:rsidP="00116E1F">
      <w:pPr>
        <w:spacing w:line="552" w:lineRule="exact"/>
        <w:ind w:firstLineChars="200" w:firstLine="640"/>
        <w:rPr>
          <w:rFonts w:ascii="黑体" w:eastAsia="黑体" w:hAnsi="仿宋"/>
          <w:szCs w:val="32"/>
        </w:rPr>
      </w:pPr>
    </w:p>
    <w:p w:rsidR="00116E1F" w:rsidRPr="00FD235A" w:rsidRDefault="00116E1F" w:rsidP="00116E1F">
      <w:pPr>
        <w:spacing w:line="552" w:lineRule="exact"/>
        <w:ind w:firstLineChars="200" w:firstLine="640"/>
        <w:rPr>
          <w:rFonts w:ascii="黑体" w:eastAsia="黑体" w:hAnsi="仿宋" w:cs="仿宋"/>
          <w:szCs w:val="32"/>
        </w:rPr>
      </w:pPr>
      <w:r w:rsidRPr="00FD235A">
        <w:rPr>
          <w:rFonts w:ascii="黑体" w:eastAsia="黑体" w:hAnsi="仿宋" w:hint="eastAsia"/>
          <w:szCs w:val="32"/>
        </w:rPr>
        <w:t>七、</w:t>
      </w:r>
      <w:r w:rsidR="00D41731">
        <w:rPr>
          <w:rFonts w:ascii="黑体" w:eastAsia="黑体" w:hAnsi="仿宋" w:hint="eastAsia"/>
          <w:szCs w:val="32"/>
        </w:rPr>
        <w:t>无</w:t>
      </w:r>
      <w:r w:rsidRPr="00FD235A">
        <w:rPr>
          <w:rFonts w:ascii="黑体" w:eastAsia="黑体" w:hAnsi="仿宋" w:hint="eastAsia"/>
          <w:szCs w:val="32"/>
        </w:rPr>
        <w:t>其他需要说明的问题</w:t>
      </w:r>
    </w:p>
    <w:p w:rsidR="00BC7B16" w:rsidRPr="00116E1F" w:rsidRDefault="00BC7B16"/>
    <w:sectPr w:rsidR="00BC7B16" w:rsidRPr="00116E1F" w:rsidSect="00BC7B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31B" w:rsidRDefault="0079531B" w:rsidP="00116E1F">
      <w:r>
        <w:separator/>
      </w:r>
    </w:p>
  </w:endnote>
  <w:endnote w:type="continuationSeparator" w:id="1">
    <w:p w:rsidR="0079531B" w:rsidRDefault="0079531B" w:rsidP="00116E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31B" w:rsidRDefault="0079531B" w:rsidP="00116E1F">
      <w:r>
        <w:separator/>
      </w:r>
    </w:p>
  </w:footnote>
  <w:footnote w:type="continuationSeparator" w:id="1">
    <w:p w:rsidR="0079531B" w:rsidRDefault="0079531B" w:rsidP="00116E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16E1F"/>
    <w:rsid w:val="00006622"/>
    <w:rsid w:val="0008570C"/>
    <w:rsid w:val="00093B3F"/>
    <w:rsid w:val="000A3EF6"/>
    <w:rsid w:val="000F12E3"/>
    <w:rsid w:val="00116E1F"/>
    <w:rsid w:val="001F3147"/>
    <w:rsid w:val="00254756"/>
    <w:rsid w:val="00355F7C"/>
    <w:rsid w:val="00474138"/>
    <w:rsid w:val="00661476"/>
    <w:rsid w:val="0079531B"/>
    <w:rsid w:val="007F4D1A"/>
    <w:rsid w:val="0085254D"/>
    <w:rsid w:val="0087624B"/>
    <w:rsid w:val="008823BC"/>
    <w:rsid w:val="009B3901"/>
    <w:rsid w:val="009D43F8"/>
    <w:rsid w:val="00A25BBB"/>
    <w:rsid w:val="00A6702D"/>
    <w:rsid w:val="00BC7B16"/>
    <w:rsid w:val="00CB089D"/>
    <w:rsid w:val="00D41731"/>
    <w:rsid w:val="00DD719C"/>
    <w:rsid w:val="00F343DA"/>
    <w:rsid w:val="00F535BE"/>
    <w:rsid w:val="00F81D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E1F"/>
    <w:pPr>
      <w:widowControl w:val="0"/>
      <w:jc w:val="both"/>
    </w:pPr>
    <w:rPr>
      <w:rFonts w:ascii="仿宋_GB2312" w:eastAsia="仿宋_GB2312" w:hAnsi="新宋体"/>
      <w:kern w:val="2"/>
      <w:sz w:val="32"/>
      <w:szCs w:val="24"/>
    </w:rPr>
  </w:style>
  <w:style w:type="paragraph" w:styleId="1">
    <w:name w:val="heading 1"/>
    <w:basedOn w:val="a"/>
    <w:next w:val="a"/>
    <w:link w:val="1Char"/>
    <w:qFormat/>
    <w:rsid w:val="00CB089D"/>
    <w:pPr>
      <w:keepNext/>
      <w:keepLines/>
      <w:spacing w:before="340" w:after="330" w:line="578" w:lineRule="auto"/>
      <w:outlineLvl w:val="0"/>
    </w:pPr>
    <w:rPr>
      <w:rFonts w:ascii="Times New Roman" w:eastAsia="宋体" w:hAnsi="Times New Roman"/>
      <w:b/>
      <w:bCs/>
      <w:kern w:val="44"/>
      <w:sz w:val="44"/>
      <w:szCs w:val="44"/>
    </w:rPr>
  </w:style>
  <w:style w:type="paragraph" w:styleId="2">
    <w:name w:val="heading 2"/>
    <w:basedOn w:val="a"/>
    <w:next w:val="a"/>
    <w:link w:val="2Char"/>
    <w:uiPriority w:val="9"/>
    <w:semiHidden/>
    <w:unhideWhenUsed/>
    <w:qFormat/>
    <w:rsid w:val="00DD719C"/>
    <w:pPr>
      <w:keepNext/>
      <w:keepLines/>
      <w:spacing w:before="260" w:after="260" w:line="416" w:lineRule="auto"/>
      <w:outlineLvl w:val="1"/>
    </w:pPr>
    <w:rPr>
      <w:rFonts w:ascii="Cambria" w:eastAsia="宋体" w:hAnsi="Cambria"/>
      <w:b/>
      <w:bCs/>
      <w:szCs w:val="32"/>
    </w:rPr>
  </w:style>
  <w:style w:type="paragraph" w:styleId="3">
    <w:name w:val="heading 3"/>
    <w:basedOn w:val="a"/>
    <w:next w:val="a"/>
    <w:link w:val="3Char"/>
    <w:unhideWhenUsed/>
    <w:qFormat/>
    <w:rsid w:val="00DD719C"/>
    <w:pPr>
      <w:keepNext/>
      <w:keepLines/>
      <w:spacing w:before="260" w:after="260" w:line="416" w:lineRule="auto"/>
      <w:outlineLvl w:val="2"/>
    </w:pPr>
    <w:rPr>
      <w:rFonts w:ascii="Times New Roman" w:hAnsi="Times New Roman"/>
      <w:b/>
      <w:bCs/>
      <w:sz w:val="24"/>
      <w:szCs w:val="32"/>
    </w:rPr>
  </w:style>
  <w:style w:type="paragraph" w:styleId="4">
    <w:name w:val="heading 4"/>
    <w:basedOn w:val="a"/>
    <w:next w:val="a"/>
    <w:link w:val="4Char"/>
    <w:unhideWhenUsed/>
    <w:qFormat/>
    <w:rsid w:val="00DD719C"/>
    <w:pPr>
      <w:keepNext/>
      <w:keepLines/>
      <w:spacing w:before="280" w:after="290" w:line="376" w:lineRule="auto"/>
      <w:outlineLvl w:val="3"/>
    </w:pPr>
    <w:rPr>
      <w:rFonts w:ascii="Cambria" w:eastAsia="宋体"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16E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16E1F"/>
    <w:rPr>
      <w:sz w:val="18"/>
      <w:szCs w:val="18"/>
    </w:rPr>
  </w:style>
  <w:style w:type="paragraph" w:styleId="a4">
    <w:name w:val="footer"/>
    <w:basedOn w:val="a"/>
    <w:link w:val="Char0"/>
    <w:uiPriority w:val="99"/>
    <w:semiHidden/>
    <w:unhideWhenUsed/>
    <w:rsid w:val="00116E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16E1F"/>
    <w:rPr>
      <w:sz w:val="18"/>
      <w:szCs w:val="18"/>
    </w:rPr>
  </w:style>
  <w:style w:type="paragraph" w:customStyle="1" w:styleId="1CharCharChar">
    <w:name w:val="正文1 Char Char Char"/>
    <w:basedOn w:val="a"/>
    <w:rsid w:val="00116E1F"/>
    <w:pPr>
      <w:spacing w:line="360" w:lineRule="auto"/>
      <w:ind w:firstLineChars="200" w:firstLine="200"/>
    </w:pPr>
  </w:style>
  <w:style w:type="character" w:customStyle="1" w:styleId="3Char">
    <w:name w:val="标题 3 Char"/>
    <w:basedOn w:val="a0"/>
    <w:link w:val="3"/>
    <w:qFormat/>
    <w:rsid w:val="00DD719C"/>
    <w:rPr>
      <w:rFonts w:ascii="Times New Roman" w:eastAsia="仿宋_GB2312" w:hAnsi="Times New Roman"/>
      <w:b/>
      <w:bCs/>
      <w:kern w:val="2"/>
      <w:sz w:val="24"/>
      <w:szCs w:val="32"/>
    </w:rPr>
  </w:style>
  <w:style w:type="paragraph" w:customStyle="1" w:styleId="20">
    <w:name w:val="样式2"/>
    <w:basedOn w:val="a"/>
    <w:uiPriority w:val="99"/>
    <w:qFormat/>
    <w:rsid w:val="00DD719C"/>
    <w:pPr>
      <w:spacing w:line="360" w:lineRule="auto"/>
    </w:pPr>
    <w:rPr>
      <w:rFonts w:ascii="Arial Unicode MS" w:eastAsia="Arial Unicode MS" w:hAnsi="Arial Unicode MS" w:cs="Arial Unicode MS"/>
      <w:b/>
      <w:bCs/>
      <w:szCs w:val="32"/>
    </w:rPr>
  </w:style>
  <w:style w:type="character" w:customStyle="1" w:styleId="2Char">
    <w:name w:val="标题 2 Char"/>
    <w:basedOn w:val="a0"/>
    <w:link w:val="2"/>
    <w:uiPriority w:val="9"/>
    <w:semiHidden/>
    <w:rsid w:val="00DD719C"/>
    <w:rPr>
      <w:rFonts w:ascii="Cambria" w:eastAsia="宋体" w:hAnsi="Cambria" w:cs="Times New Roman"/>
      <w:b/>
      <w:bCs/>
      <w:kern w:val="2"/>
      <w:sz w:val="32"/>
      <w:szCs w:val="32"/>
    </w:rPr>
  </w:style>
  <w:style w:type="character" w:customStyle="1" w:styleId="4Char">
    <w:name w:val="标题 4 Char"/>
    <w:basedOn w:val="a0"/>
    <w:link w:val="4"/>
    <w:qFormat/>
    <w:rsid w:val="00DD719C"/>
    <w:rPr>
      <w:rFonts w:ascii="Cambria" w:eastAsia="宋体" w:hAnsi="Cambria" w:cs="Times New Roman"/>
      <w:b/>
      <w:bCs/>
      <w:kern w:val="2"/>
      <w:sz w:val="28"/>
      <w:szCs w:val="28"/>
    </w:rPr>
  </w:style>
  <w:style w:type="character" w:customStyle="1" w:styleId="1Char">
    <w:name w:val="标题 1 Char"/>
    <w:basedOn w:val="a0"/>
    <w:link w:val="1"/>
    <w:qFormat/>
    <w:rsid w:val="00CB089D"/>
    <w:rPr>
      <w:rFonts w:ascii="Times New Roman" w:hAnsi="Times New Roman"/>
      <w:b/>
      <w:bCs/>
      <w:kern w:val="44"/>
      <w:sz w:val="44"/>
      <w:szCs w:val="44"/>
    </w:rPr>
  </w:style>
  <w:style w:type="paragraph" w:styleId="a5">
    <w:name w:val="Body Text"/>
    <w:basedOn w:val="a"/>
    <w:link w:val="Char1"/>
    <w:uiPriority w:val="99"/>
    <w:qFormat/>
    <w:rsid w:val="00CB089D"/>
    <w:pPr>
      <w:adjustRightInd w:val="0"/>
      <w:spacing w:after="120" w:line="360" w:lineRule="auto"/>
      <w:ind w:firstLineChars="200" w:firstLine="200"/>
      <w:textAlignment w:val="baseline"/>
    </w:pPr>
    <w:rPr>
      <w:rFonts w:ascii="Verdana" w:eastAsia="宋体" w:hAnsi="Verdana" w:cs="Verdana"/>
      <w:sz w:val="21"/>
    </w:rPr>
  </w:style>
  <w:style w:type="character" w:customStyle="1" w:styleId="Char1">
    <w:name w:val="正文文本 Char"/>
    <w:basedOn w:val="a0"/>
    <w:link w:val="a5"/>
    <w:uiPriority w:val="99"/>
    <w:rsid w:val="00CB089D"/>
    <w:rPr>
      <w:rFonts w:ascii="Verdana" w:hAnsi="Verdana" w:cs="Verdana"/>
      <w:kern w:val="2"/>
      <w:sz w:val="21"/>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1344</Words>
  <Characters>7666</Characters>
  <Application>Microsoft Office Word</Application>
  <DocSecurity>0</DocSecurity>
  <PresentationFormat/>
  <Lines>63</Lines>
  <Paragraphs>17</Paragraphs>
  <Slides>0</Slides>
  <Notes>0</Notes>
  <HiddenSlides>0</HiddenSlides>
  <MMClips>0</MMClips>
  <ScaleCrop>false</ScaleCrop>
  <Company>HKSJ</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dcterms:created xsi:type="dcterms:W3CDTF">2023-09-01T03:36:00Z</dcterms:created>
  <dcterms:modified xsi:type="dcterms:W3CDTF">2023-09-01T03:36:00Z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2052-9.1.0.3914</vt:lpwstr>
  </property>
</Properties>
</file>