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sz w:val="72"/>
          <w:szCs w:val="72"/>
        </w:rPr>
      </w:pPr>
      <w:r>
        <w:rPr>
          <w:rFonts w:hint="eastAsia"/>
          <w:sz w:val="72"/>
          <w:szCs w:val="72"/>
          <w:lang w:val="en-US" w:eastAsia="zh-CN"/>
        </w:rPr>
        <w:t>2024</w:t>
      </w:r>
      <w:r>
        <w:rPr>
          <w:rFonts w:hint="eastAsia"/>
          <w:sz w:val="72"/>
          <w:szCs w:val="72"/>
        </w:rPr>
        <w:t>年</w:t>
      </w:r>
      <w:r>
        <w:rPr>
          <w:rFonts w:hint="eastAsia"/>
          <w:sz w:val="72"/>
          <w:szCs w:val="72"/>
          <w:lang w:eastAsia="zh-CN"/>
        </w:rPr>
        <w:t>屯昌县人民检察院</w:t>
      </w:r>
      <w:r>
        <w:rPr>
          <w:rFonts w:hint="eastAsia"/>
          <w:sz w:val="72"/>
          <w:szCs w:val="7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屯昌县人民检察院</w:t>
      </w:r>
      <w:r>
        <w:rPr>
          <w:rFonts w:hint="eastAsia" w:ascii="黑体" w:hAnsi="黑体" w:eastAsia="黑体"/>
          <w:sz w:val="32"/>
          <w:szCs w:val="32"/>
        </w:rPr>
        <w:t>概况</w:t>
      </w:r>
    </w:p>
    <w:p>
      <w:pPr>
        <w:pStyle w:val="7"/>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7"/>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年部门预算表</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政府性基金预算“三公”经费支出表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屯昌县人民检察院</w:t>
      </w:r>
      <w:r>
        <w:rPr>
          <w:rFonts w:hint="eastAsia" w:ascii="黑体" w:hAnsi="黑体" w:eastAsia="黑体"/>
          <w:sz w:val="32"/>
          <w:szCs w:val="32"/>
        </w:rPr>
        <w:t>概况</w:t>
      </w:r>
    </w:p>
    <w:p>
      <w:pPr>
        <w:pStyle w:val="7"/>
        <w:numPr>
          <w:ilvl w:val="0"/>
          <w:numId w:val="0"/>
        </w:numPr>
        <w:ind w:leftChars="0"/>
        <w:jc w:val="left"/>
        <w:rPr>
          <w:rFonts w:hint="eastAsia" w:ascii="黑体" w:hAnsi="黑体" w:eastAsia="黑体" w:cs="仿宋_GB2312"/>
          <w:sz w:val="32"/>
          <w:szCs w:val="32"/>
          <w:lang w:val="en-US" w:eastAsia="zh-CN"/>
        </w:rPr>
      </w:pPr>
    </w:p>
    <w:p>
      <w:pPr>
        <w:pStyle w:val="7"/>
        <w:numPr>
          <w:ilvl w:val="0"/>
          <w:numId w:val="4"/>
        </w:numPr>
        <w:ind w:leftChars="0"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0"/>
        </w:numPr>
        <w:ind w:firstLine="640" w:firstLineChars="200"/>
        <w:jc w:val="left"/>
        <w:rPr>
          <w:rFonts w:hint="eastAsia" w:ascii="黑体" w:hAnsi="黑体" w:eastAsia="黑体" w:cs="仿宋_GB2312"/>
          <w:sz w:val="32"/>
          <w:szCs w:val="32"/>
        </w:rPr>
      </w:pPr>
      <w:r>
        <w:rPr>
          <w:rFonts w:hint="eastAsia" w:ascii="仿宋_GB2312" w:hAnsi="黑体" w:eastAsia="仿宋_GB2312" w:cs="仿宋_GB2312"/>
          <w:kern w:val="2"/>
          <w:sz w:val="32"/>
          <w:szCs w:val="32"/>
          <w:lang w:val="en-US" w:eastAsia="zh-CN" w:bidi="ar-SA"/>
        </w:rPr>
        <w:t>屯昌县人民检察院是基层检察机关，在县委和上级检察机关的领导下依法履行职责，对屯昌县人民代表大会及其常务委员会负责并报告工作。</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spacing w:line="578" w:lineRule="exact"/>
        <w:ind w:firstLine="640"/>
        <w:rPr>
          <w:rFonts w:ascii="仿宋_GB2312" w:eastAsia="仿宋_GB2312"/>
          <w:sz w:val="32"/>
          <w:szCs w:val="32"/>
        </w:rPr>
      </w:pPr>
      <w:r>
        <w:rPr>
          <w:rFonts w:hint="eastAsia" w:ascii="仿宋_GB2312" w:eastAsia="仿宋_GB2312"/>
          <w:sz w:val="32"/>
          <w:szCs w:val="32"/>
        </w:rPr>
        <w:t>（二）依法向</w:t>
      </w:r>
      <w:r>
        <w:rPr>
          <w:rFonts w:hint="eastAsia" w:ascii="仿宋_GB2312" w:hAnsi="仿宋_GB2312" w:eastAsia="仿宋_GB2312" w:cs="仿宋_GB2312"/>
          <w:sz w:val="32"/>
          <w:szCs w:val="32"/>
        </w:rPr>
        <w:t>屯昌县</w:t>
      </w:r>
      <w:r>
        <w:rPr>
          <w:rFonts w:hint="eastAsia" w:ascii="仿宋_GB2312" w:eastAsia="仿宋_GB2312"/>
          <w:sz w:val="32"/>
          <w:szCs w:val="32"/>
        </w:rPr>
        <w:t>人民代表大会及其常务委员会提出议案。</w:t>
      </w:r>
    </w:p>
    <w:p>
      <w:pPr>
        <w:spacing w:line="578" w:lineRule="exact"/>
        <w:ind w:firstLine="640"/>
        <w:rPr>
          <w:rFonts w:hint="eastAsia" w:ascii="仿宋_GB2312" w:eastAsia="仿宋_GB2312"/>
          <w:sz w:val="32"/>
          <w:szCs w:val="32"/>
        </w:rPr>
      </w:pPr>
      <w:r>
        <w:rPr>
          <w:rFonts w:hint="eastAsia" w:ascii="仿宋_GB2312" w:eastAsia="仿宋_GB2312"/>
          <w:sz w:val="32"/>
          <w:szCs w:val="32"/>
        </w:rPr>
        <w:t>（三）落实上级检察机关研究制定的检察工作方针、总体规划，结合本县党委中心工作，制定本院检察工作计划，落实检察工作任务。</w:t>
      </w:r>
    </w:p>
    <w:p>
      <w:pPr>
        <w:spacing w:line="578" w:lineRule="exact"/>
        <w:ind w:firstLine="640"/>
        <w:rPr>
          <w:rFonts w:ascii="仿宋_GB2312" w:eastAsia="仿宋_GB2312"/>
          <w:sz w:val="32"/>
          <w:szCs w:val="32"/>
        </w:rPr>
      </w:pPr>
      <w:r>
        <w:rPr>
          <w:rFonts w:hint="eastAsia" w:ascii="仿宋_GB2312" w:eastAsia="仿宋_GB2312"/>
          <w:sz w:val="32"/>
          <w:szCs w:val="32"/>
        </w:rPr>
        <w:t>（四）依照法律规定对由本院直接受理的刑事案件和上级检察机关交办的案件行使侦查权。</w:t>
      </w:r>
    </w:p>
    <w:p>
      <w:pPr>
        <w:spacing w:line="578" w:lineRule="exact"/>
        <w:ind w:firstLine="640"/>
        <w:rPr>
          <w:rFonts w:hint="eastAsia" w:ascii="仿宋_GB2312" w:eastAsia="仿宋_GB2312"/>
          <w:sz w:val="32"/>
          <w:szCs w:val="32"/>
        </w:rPr>
      </w:pPr>
      <w:r>
        <w:rPr>
          <w:rFonts w:hint="eastAsia" w:ascii="仿宋_GB2312" w:eastAsia="仿宋_GB2312"/>
          <w:sz w:val="32"/>
          <w:szCs w:val="32"/>
        </w:rPr>
        <w:t>（五）负责对由本院直接办理或上级检察机关交办的刑事案件依法审查批准逮捕、决定逮捕、提起公诉。</w:t>
      </w:r>
    </w:p>
    <w:p>
      <w:pPr>
        <w:spacing w:line="578" w:lineRule="exact"/>
        <w:ind w:firstLine="640"/>
        <w:rPr>
          <w:rFonts w:ascii="仿宋_GB2312" w:eastAsia="仿宋_GB2312"/>
          <w:sz w:val="32"/>
          <w:szCs w:val="32"/>
        </w:rPr>
      </w:pPr>
      <w:r>
        <w:rPr>
          <w:rFonts w:hint="eastAsia" w:ascii="仿宋_GB2312" w:eastAsia="仿宋_GB2312"/>
          <w:sz w:val="32"/>
          <w:szCs w:val="32"/>
        </w:rPr>
        <w:t>（六）依法对辖区内刑事、民事、行政诉讼活动及刑事、民事、行政判决和裁定等生效法律文书执行的法律监督工作。</w:t>
      </w:r>
    </w:p>
    <w:p>
      <w:pPr>
        <w:spacing w:line="578" w:lineRule="exact"/>
        <w:ind w:firstLine="640"/>
        <w:rPr>
          <w:rFonts w:ascii="仿宋_GB2312" w:eastAsia="仿宋_GB2312"/>
          <w:sz w:val="32"/>
          <w:szCs w:val="32"/>
        </w:rPr>
      </w:pPr>
      <w:r>
        <w:rPr>
          <w:rFonts w:hint="eastAsia" w:ascii="仿宋_GB2312" w:eastAsia="仿宋_GB2312"/>
          <w:sz w:val="32"/>
          <w:szCs w:val="32"/>
        </w:rPr>
        <w:t>（七）依法对辖区内人民法院确有错误的判决和裁定提起抗诉或提请抗诉。</w:t>
      </w:r>
    </w:p>
    <w:p>
      <w:pPr>
        <w:spacing w:line="578" w:lineRule="exact"/>
        <w:ind w:firstLine="640"/>
        <w:rPr>
          <w:rFonts w:ascii="仿宋_GB2312" w:eastAsia="仿宋_GB2312"/>
          <w:sz w:val="32"/>
          <w:szCs w:val="32"/>
        </w:rPr>
      </w:pPr>
      <w:r>
        <w:rPr>
          <w:rFonts w:hint="eastAsia" w:ascii="仿宋_GB2312" w:eastAsia="仿宋_GB2312"/>
          <w:sz w:val="32"/>
          <w:szCs w:val="32"/>
        </w:rPr>
        <w:t>（八）负责</w:t>
      </w:r>
      <w:r>
        <w:rPr>
          <w:rFonts w:ascii="仿宋_GB2312" w:eastAsia="仿宋_GB2312"/>
          <w:sz w:val="32"/>
          <w:szCs w:val="32"/>
        </w:rPr>
        <w:t>应由</w:t>
      </w:r>
      <w:r>
        <w:rPr>
          <w:rFonts w:hint="eastAsia" w:ascii="仿宋_GB2312" w:eastAsia="仿宋_GB2312"/>
          <w:sz w:val="32"/>
          <w:szCs w:val="32"/>
        </w:rPr>
        <w:t>本院</w:t>
      </w:r>
      <w:r>
        <w:rPr>
          <w:rFonts w:ascii="仿宋_GB2312" w:eastAsia="仿宋_GB2312"/>
          <w:sz w:val="32"/>
          <w:szCs w:val="32"/>
        </w:rPr>
        <w:t>承办的提</w:t>
      </w:r>
      <w:r>
        <w:rPr>
          <w:rFonts w:hint="eastAsia" w:ascii="仿宋_GB2312" w:eastAsia="仿宋_GB2312"/>
          <w:sz w:val="32"/>
          <w:szCs w:val="32"/>
        </w:rPr>
        <w:t>起</w:t>
      </w:r>
      <w:r>
        <w:rPr>
          <w:rFonts w:ascii="仿宋_GB2312" w:eastAsia="仿宋_GB2312"/>
          <w:sz w:val="32"/>
          <w:szCs w:val="32"/>
        </w:rPr>
        <w:t>公益诉讼工作。</w:t>
      </w:r>
      <w:r>
        <w:rPr>
          <w:rFonts w:hint="eastAsia" w:ascii="仿宋_GB2312" w:eastAsia="仿宋_GB2312"/>
          <w:sz w:val="32"/>
          <w:szCs w:val="32"/>
        </w:rPr>
        <w:t> </w:t>
      </w:r>
    </w:p>
    <w:p>
      <w:pPr>
        <w:spacing w:line="578" w:lineRule="exact"/>
        <w:ind w:firstLine="640"/>
        <w:rPr>
          <w:rFonts w:ascii="仿宋_GB2312" w:eastAsia="仿宋_GB2312"/>
          <w:sz w:val="32"/>
          <w:szCs w:val="32"/>
        </w:rPr>
      </w:pPr>
      <w:r>
        <w:rPr>
          <w:rFonts w:hint="eastAsia" w:ascii="仿宋_GB2312" w:eastAsia="仿宋_GB2312"/>
          <w:sz w:val="32"/>
          <w:szCs w:val="32"/>
        </w:rPr>
        <w:t>（九）负责对本辖区的看守所、社区矫正机构等执法活动的法律监督工作。</w:t>
      </w:r>
    </w:p>
    <w:p>
      <w:pPr>
        <w:spacing w:line="578" w:lineRule="exact"/>
        <w:ind w:firstLine="640"/>
        <w:rPr>
          <w:rFonts w:ascii="仿宋_GB2312" w:eastAsia="仿宋_GB2312"/>
          <w:sz w:val="32"/>
          <w:szCs w:val="32"/>
        </w:rPr>
      </w:pPr>
      <w:r>
        <w:rPr>
          <w:rFonts w:hint="eastAsia" w:ascii="仿宋_GB2312" w:eastAsia="仿宋_GB2312"/>
          <w:sz w:val="32"/>
          <w:szCs w:val="32"/>
        </w:rPr>
        <w:t>（十）受理向本院提出的控告申诉。</w:t>
      </w:r>
    </w:p>
    <w:p>
      <w:pPr>
        <w:spacing w:line="578" w:lineRule="exact"/>
        <w:ind w:firstLine="640"/>
        <w:rPr>
          <w:rFonts w:hint="eastAsia" w:ascii="仿宋_GB2312" w:eastAsia="仿宋_GB2312"/>
          <w:sz w:val="32"/>
          <w:szCs w:val="32"/>
        </w:rPr>
      </w:pPr>
      <w:r>
        <w:rPr>
          <w:rFonts w:hint="eastAsia" w:ascii="仿宋_GB2312" w:eastAsia="仿宋_GB2312"/>
          <w:sz w:val="32"/>
          <w:szCs w:val="32"/>
        </w:rPr>
        <w:t>（十一）对检察工作中具体应用法律的问题进行调查研究，依程序向立法机关和上级检察院提出立法以及司法解释建议。</w:t>
      </w:r>
    </w:p>
    <w:p>
      <w:pPr>
        <w:spacing w:line="578" w:lineRule="exact"/>
        <w:ind w:firstLine="640"/>
        <w:rPr>
          <w:rFonts w:ascii="仿宋_GB2312" w:eastAsia="仿宋_GB2312"/>
          <w:sz w:val="32"/>
          <w:szCs w:val="32"/>
        </w:rPr>
      </w:pPr>
      <w:r>
        <w:rPr>
          <w:rFonts w:hint="eastAsia" w:ascii="仿宋_GB2312" w:eastAsia="仿宋_GB2312"/>
          <w:sz w:val="32"/>
          <w:szCs w:val="32"/>
        </w:rPr>
        <w:t>（十二）在上级检察机关指导下，开展检察理论研究工作。</w:t>
      </w:r>
    </w:p>
    <w:p>
      <w:pPr>
        <w:spacing w:line="578" w:lineRule="exact"/>
        <w:ind w:firstLine="640"/>
        <w:rPr>
          <w:rFonts w:ascii="仿宋_GB2312" w:eastAsia="仿宋_GB2312"/>
          <w:sz w:val="32"/>
          <w:szCs w:val="32"/>
        </w:rPr>
      </w:pPr>
      <w:r>
        <w:rPr>
          <w:rFonts w:hint="eastAsia" w:ascii="仿宋_GB2312" w:eastAsia="仿宋_GB2312"/>
          <w:sz w:val="32"/>
          <w:szCs w:val="32"/>
        </w:rPr>
        <w:t>（十三）负责本院队伍建设、思想政治工作和意识形态工作。配合省检察院，协同省机构编制部门管理本院的机构设置及人员编制，制定本院相关人员管理办法。负责组织开展本院教育培训工作。</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（十四）协同组织部门依照干部管理权限对本院相关人员进行管理、考核。负责本院检察官等级评定和晋升、考核、调配等工作。负责本院其他检察人员的考核、调配、任免等工作。 </w:t>
      </w:r>
    </w:p>
    <w:p>
      <w:pPr>
        <w:spacing w:line="578" w:lineRule="exact"/>
        <w:ind w:firstLine="640"/>
        <w:rPr>
          <w:rFonts w:hint="eastAsia" w:ascii="仿宋_GB2312" w:eastAsia="仿宋_GB2312"/>
          <w:sz w:val="32"/>
          <w:szCs w:val="32"/>
        </w:rPr>
      </w:pPr>
      <w:r>
        <w:rPr>
          <w:rFonts w:hint="eastAsia" w:ascii="仿宋_GB2312" w:eastAsia="仿宋_GB2312"/>
          <w:sz w:val="32"/>
          <w:szCs w:val="32"/>
        </w:rPr>
        <w:t>（十五）负责在本院开展检务督察工作。</w:t>
      </w:r>
    </w:p>
    <w:p>
      <w:pPr>
        <w:spacing w:line="578" w:lineRule="exact"/>
        <w:ind w:firstLine="640"/>
        <w:rPr>
          <w:rFonts w:ascii="仿宋_GB2312" w:eastAsia="仿宋_GB2312"/>
          <w:sz w:val="32"/>
          <w:szCs w:val="32"/>
        </w:rPr>
      </w:pPr>
      <w:r>
        <w:rPr>
          <w:rFonts w:hint="eastAsia" w:ascii="仿宋_GB2312" w:eastAsia="仿宋_GB2312"/>
          <w:sz w:val="32"/>
          <w:szCs w:val="32"/>
        </w:rPr>
        <w:t>（十六）负责本院的财务装备管理工作。</w:t>
      </w:r>
    </w:p>
    <w:p>
      <w:pPr>
        <w:spacing w:line="578" w:lineRule="exact"/>
        <w:ind w:firstLine="640"/>
        <w:rPr>
          <w:rFonts w:hint="eastAsia" w:ascii="仿宋_GB2312" w:eastAsia="仿宋_GB2312"/>
          <w:sz w:val="32"/>
          <w:szCs w:val="32"/>
        </w:rPr>
      </w:pPr>
      <w:r>
        <w:rPr>
          <w:rFonts w:hint="eastAsia" w:ascii="仿宋_GB2312" w:eastAsia="仿宋_GB2312"/>
          <w:sz w:val="32"/>
          <w:szCs w:val="32"/>
        </w:rPr>
        <w:t>（十七）承担县委、县人大和上级人民检察院交办的其他工作。</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w:t>
      </w:r>
    </w:p>
    <w:p>
      <w:pPr>
        <w:ind w:firstLine="640" w:firstLineChars="200"/>
        <w:jc w:val="left"/>
        <w:rPr>
          <w:rFonts w:hint="eastAsia" w:ascii="仿宋_GB2312" w:hAnsi="黑体" w:eastAsia="仿宋_GB2312" w:cs="宋体"/>
          <w:color w:val="000000"/>
          <w:kern w:val="0"/>
          <w:sz w:val="32"/>
          <w:szCs w:val="30"/>
          <w:lang w:val="en-US" w:eastAsia="zh-CN"/>
        </w:rPr>
      </w:pPr>
      <w:r>
        <w:rPr>
          <w:rFonts w:hint="eastAsia" w:ascii="仿宋_GB2312" w:hAnsi="黑体" w:eastAsia="仿宋_GB2312" w:cs="宋体"/>
          <w:color w:val="000000"/>
          <w:kern w:val="0"/>
          <w:sz w:val="32"/>
          <w:szCs w:val="30"/>
          <w:lang w:eastAsia="zh-CN"/>
        </w:rPr>
        <w:t>纳入屯昌县人民检察院</w:t>
      </w:r>
      <w:r>
        <w:rPr>
          <w:rFonts w:hint="eastAsia" w:ascii="仿宋_GB2312" w:hAnsi="黑体" w:eastAsia="仿宋_GB2312" w:cs="宋体"/>
          <w:color w:val="000000"/>
          <w:kern w:val="0"/>
          <w:sz w:val="32"/>
          <w:szCs w:val="30"/>
          <w:lang w:val="en-US" w:eastAsia="zh-CN"/>
        </w:rPr>
        <w:t>2024年预算编制范围的只有预算本级1家单位。</w:t>
      </w:r>
    </w:p>
    <w:p>
      <w:pPr>
        <w:ind w:firstLine="640" w:firstLineChars="200"/>
        <w:jc w:val="left"/>
        <w:rPr>
          <w:rFonts w:hint="eastAsia" w:ascii="仿宋_GB2312" w:hAnsi="黑体" w:eastAsia="仿宋_GB2312" w:cs="宋体"/>
          <w:color w:val="000000"/>
          <w:kern w:val="0"/>
          <w:sz w:val="32"/>
          <w:szCs w:val="30"/>
          <w:lang w:val="en-US"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eastAsia="zh-CN"/>
        </w:rPr>
        <w:t>屯昌县人民检察院</w:t>
      </w: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年部门预算表</w:t>
      </w:r>
    </w:p>
    <w:p>
      <w:pPr>
        <w:ind w:left="800"/>
        <w:jc w:val="left"/>
        <w:rPr>
          <w:rFonts w:hint="eastAsia" w:ascii="黑体" w:hAnsi="黑体" w:eastAsia="黑体"/>
          <w:sz w:val="32"/>
          <w:szCs w:val="32"/>
          <w:lang w:eastAsia="zh-CN"/>
        </w:rPr>
      </w:pPr>
    </w:p>
    <w:p>
      <w:pPr>
        <w:pStyle w:val="7"/>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六、政府性基金预算“三公”经费支出表（见附表）</w:t>
      </w:r>
    </w:p>
    <w:p>
      <w:pPr>
        <w:pStyle w:val="7"/>
        <w:numPr>
          <w:ilvl w:val="0"/>
          <w:numId w:val="0"/>
        </w:numPr>
        <w:ind w:leftChars="0" w:firstLine="640" w:firstLineChars="200"/>
        <w:jc w:val="left"/>
        <w:rPr>
          <w:rFonts w:ascii="黑体" w:hAnsi="黑体" w:eastAsia="黑体"/>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部门收支总表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jc w:val="left"/>
        <w:rPr>
          <w:rFonts w:ascii="黑体" w:hAnsi="黑体" w:eastAsia="黑体"/>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部门收入总表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jc w:val="left"/>
        <w:rPr>
          <w:rFonts w:ascii="黑体" w:hAnsi="黑体" w:eastAsia="黑体"/>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部门支出总表</w:t>
      </w:r>
      <w:r>
        <w:rPr>
          <w:rFonts w:hint="eastAsia" w:ascii="仿宋_GB2312" w:hAnsi="仿宋_GB2312" w:eastAsia="仿宋_GB2312" w:cs="仿宋_GB2312"/>
          <w:sz w:val="32"/>
          <w:szCs w:val="32"/>
          <w:lang w:eastAsia="zh-CN"/>
        </w:rPr>
        <w:t>（见附表）</w:t>
      </w:r>
    </w:p>
    <w:p>
      <w:pPr>
        <w:pStyle w:val="7"/>
        <w:numPr>
          <w:ilvl w:val="0"/>
          <w:numId w:val="0"/>
        </w:numPr>
        <w:ind w:leftChars="0" w:firstLine="640" w:firstLineChars="200"/>
        <w:jc w:val="left"/>
        <w:rPr>
          <w:rFonts w:hint="eastAsia" w:ascii="黑体" w:hAnsi="黑体" w:eastAsia="黑体"/>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r>
        <w:rPr>
          <w:rFonts w:hint="eastAsia" w:ascii="仿宋_GB2312" w:hAnsi="仿宋_GB2312" w:eastAsia="仿宋_GB2312" w:cs="仿宋_GB2312"/>
          <w:sz w:val="32"/>
          <w:szCs w:val="32"/>
          <w:lang w:eastAsia="zh-CN"/>
        </w:rPr>
        <w:t>（见附表）</w:t>
      </w:r>
    </w:p>
    <w:p>
      <w:pPr>
        <w:jc w:val="left"/>
        <w:rPr>
          <w:rFonts w:hint="eastAsia" w:ascii="黑体" w:hAnsi="黑体" w:eastAsia="黑体"/>
          <w:sz w:val="32"/>
          <w:szCs w:val="32"/>
          <w:lang w:eastAsia="zh-CN"/>
        </w:rPr>
      </w:pPr>
    </w:p>
    <w:p>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cs="黑体"/>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年财政拨款收支预算情况的总体说明</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1886.39</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2023年增加265.94万元。</w:t>
      </w:r>
      <w:r>
        <w:rPr>
          <w:rFonts w:hint="eastAsia" w:ascii="仿宋_GB2312" w:hAnsi="黑体" w:eastAsia="仿宋_GB2312"/>
          <w:color w:val="auto"/>
          <w:sz w:val="32"/>
          <w:szCs w:val="32"/>
          <w:lang w:val="en-US" w:eastAsia="zh-CN"/>
        </w:rPr>
        <w:t>主要原因是：一般公共预算本年收入增加。</w:t>
      </w:r>
      <w:r>
        <w:rPr>
          <w:rFonts w:hint="eastAsia" w:ascii="仿宋_GB2312" w:hAnsi="黑体" w:eastAsia="仿宋_GB2312"/>
          <w:color w:val="auto"/>
          <w:sz w:val="32"/>
          <w:szCs w:val="32"/>
          <w:lang w:eastAsia="zh-CN"/>
        </w:rPr>
        <w:t>其中，</w:t>
      </w:r>
      <w:r>
        <w:rPr>
          <w:rFonts w:hint="eastAsia" w:ascii="仿宋_GB2312" w:hAnsi="黑体" w:eastAsia="仿宋_GB2312"/>
          <w:color w:val="auto"/>
          <w:sz w:val="32"/>
          <w:szCs w:val="32"/>
        </w:rPr>
        <w:t>收入总计</w:t>
      </w:r>
      <w:r>
        <w:rPr>
          <w:rFonts w:hint="eastAsia" w:ascii="仿宋_GB2312" w:hAnsi="黑体" w:eastAsia="仿宋_GB2312"/>
          <w:color w:val="auto"/>
          <w:sz w:val="32"/>
          <w:szCs w:val="32"/>
          <w:lang w:val="en-US" w:eastAsia="zh-CN"/>
        </w:rPr>
        <w:t>1886.39</w:t>
      </w:r>
      <w:r>
        <w:rPr>
          <w:rFonts w:hint="eastAsia" w:ascii="仿宋_GB2312" w:hAnsi="黑体" w:eastAsia="仿宋_GB2312"/>
          <w:color w:val="auto"/>
          <w:sz w:val="32"/>
          <w:szCs w:val="32"/>
        </w:rPr>
        <w:t>万元，包括一般公共预算本年收入</w:t>
      </w:r>
      <w:r>
        <w:rPr>
          <w:rFonts w:hint="eastAsia" w:ascii="仿宋_GB2312" w:hAnsi="黑体" w:eastAsia="仿宋_GB2312"/>
          <w:color w:val="auto"/>
          <w:sz w:val="32"/>
          <w:szCs w:val="32"/>
          <w:lang w:val="en-US" w:eastAsia="zh-CN"/>
        </w:rPr>
        <w:t>1860.26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上年结转26.13万元</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支出总计</w:t>
      </w:r>
      <w:r>
        <w:rPr>
          <w:rFonts w:hint="eastAsia" w:ascii="仿宋_GB2312" w:hAnsi="黑体" w:eastAsia="仿宋_GB2312"/>
          <w:color w:val="auto"/>
          <w:sz w:val="32"/>
          <w:szCs w:val="32"/>
          <w:lang w:val="en-US" w:eastAsia="zh-CN"/>
        </w:rPr>
        <w:t>1886.39万元，包括公共安全支出1475.30万元，教育支出5万，社会保障和就业支出221.51万元，卫生健康支出113.00万元，住房保障支出71.58万元，结转下年0万元。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屯昌县人民检察院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1886.39</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增加265.94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主要原因：一是公共安全支出增加；二是社会保障和就业支出增加；三是卫生健康支出增加；四是住房保障支出增加；五是上年结转增加。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公共安全支出</w:t>
      </w:r>
      <w:r>
        <w:rPr>
          <w:rFonts w:hint="eastAsia" w:ascii="仿宋_GB2312" w:hAnsi="黑体" w:eastAsia="仿宋_GB2312"/>
          <w:color w:val="auto"/>
          <w:sz w:val="32"/>
          <w:szCs w:val="32"/>
          <w:lang w:val="en-US" w:eastAsia="zh-CN"/>
        </w:rPr>
        <w:t>1475.30</w:t>
      </w:r>
      <w:r>
        <w:rPr>
          <w:rFonts w:hint="eastAsia" w:ascii="仿宋_GB2312" w:hAnsi="黑体" w:eastAsia="仿宋_GB2312" w:cs="仿宋_GB2312"/>
          <w:sz w:val="32"/>
          <w:szCs w:val="32"/>
          <w:lang w:val="en-US" w:eastAsia="zh-CN"/>
        </w:rPr>
        <w:t>万元，占78.21%，教育支出5万，占0.27%；社会保障和就业支出</w:t>
      </w:r>
      <w:r>
        <w:rPr>
          <w:rFonts w:hint="eastAsia" w:ascii="仿宋_GB2312" w:hAnsi="黑体" w:eastAsia="仿宋_GB2312"/>
          <w:color w:val="auto"/>
          <w:sz w:val="32"/>
          <w:szCs w:val="32"/>
          <w:lang w:val="en-US" w:eastAsia="zh-CN"/>
        </w:rPr>
        <w:t>221.51</w:t>
      </w:r>
      <w:r>
        <w:rPr>
          <w:rFonts w:hint="eastAsia" w:ascii="仿宋_GB2312" w:hAnsi="黑体" w:eastAsia="仿宋_GB2312" w:cs="仿宋_GB2312"/>
          <w:sz w:val="32"/>
          <w:szCs w:val="32"/>
          <w:lang w:val="en-US" w:eastAsia="zh-CN"/>
        </w:rPr>
        <w:t>万元，占11.74%，卫生健康支出</w:t>
      </w:r>
      <w:r>
        <w:rPr>
          <w:rFonts w:hint="eastAsia" w:ascii="仿宋_GB2312" w:hAnsi="黑体" w:eastAsia="仿宋_GB2312"/>
          <w:color w:val="auto"/>
          <w:sz w:val="32"/>
          <w:szCs w:val="32"/>
          <w:lang w:val="en-US" w:eastAsia="zh-CN"/>
        </w:rPr>
        <w:t>113.00</w:t>
      </w:r>
      <w:r>
        <w:rPr>
          <w:rFonts w:hint="eastAsia" w:ascii="仿宋_GB2312" w:hAnsi="黑体" w:eastAsia="仿宋_GB2312" w:cs="仿宋_GB2312"/>
          <w:sz w:val="32"/>
          <w:szCs w:val="32"/>
          <w:lang w:val="en-US" w:eastAsia="zh-CN"/>
        </w:rPr>
        <w:t>万元，占5.99%，住房保障支出</w:t>
      </w:r>
      <w:r>
        <w:rPr>
          <w:rFonts w:hint="eastAsia" w:ascii="仿宋_GB2312" w:hAnsi="黑体" w:eastAsia="仿宋_GB2312"/>
          <w:color w:val="auto"/>
          <w:sz w:val="32"/>
          <w:szCs w:val="32"/>
          <w:lang w:val="en-US" w:eastAsia="zh-CN"/>
        </w:rPr>
        <w:t>71.58</w:t>
      </w:r>
      <w:r>
        <w:rPr>
          <w:rFonts w:hint="eastAsia" w:ascii="仿宋_GB2312" w:hAnsi="黑体" w:eastAsia="仿宋_GB2312" w:cs="仿宋_GB2312"/>
          <w:sz w:val="32"/>
          <w:szCs w:val="32"/>
          <w:lang w:val="en-US" w:eastAsia="zh-CN"/>
        </w:rPr>
        <w:t>万元，占3.79%</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行政运行（项）</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1060.08</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w:t>
      </w:r>
      <w:r>
        <w:rPr>
          <w:rFonts w:hint="eastAsia" w:ascii="仿宋_GB2312" w:hAnsi="黑体" w:eastAsia="仿宋_GB2312"/>
          <w:sz w:val="32"/>
          <w:szCs w:val="32"/>
        </w:rPr>
        <w:t>预算数</w:t>
      </w:r>
      <w:r>
        <w:rPr>
          <w:rFonts w:hint="eastAsia" w:ascii="仿宋_GB2312" w:hAnsi="黑体" w:eastAsia="仿宋_GB2312"/>
          <w:sz w:val="32"/>
          <w:szCs w:val="32"/>
          <w:lang w:val="en-US" w:eastAsia="zh-CN"/>
        </w:rPr>
        <w:t>增加82.26</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原因：基本支出人员类经费增加。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一般行政管理事务（项）</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68.07</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lang w:val="en-US" w:eastAsia="zh-CN"/>
        </w:rPr>
        <w:t>2023年</w:t>
      </w:r>
      <w:r>
        <w:rPr>
          <w:rFonts w:hint="eastAsia" w:ascii="仿宋_GB2312" w:hAnsi="黑体" w:eastAsia="仿宋_GB2312"/>
          <w:sz w:val="32"/>
          <w:szCs w:val="32"/>
          <w:lang w:eastAsia="zh-CN"/>
        </w:rPr>
        <w:t>基本持平</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检察监督（项）</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279.13</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w:t>
      </w:r>
      <w:r>
        <w:rPr>
          <w:rFonts w:hint="eastAsia" w:ascii="仿宋_GB2312" w:hAnsi="黑体" w:eastAsia="仿宋_GB2312"/>
          <w:sz w:val="32"/>
          <w:szCs w:val="32"/>
        </w:rPr>
        <w:t>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68.08</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color w:val="auto"/>
          <w:sz w:val="32"/>
          <w:szCs w:val="32"/>
          <w:lang w:val="en-US" w:eastAsia="zh-CN"/>
        </w:rPr>
        <w:t>案件量增加，办案业务费也随之增加</w:t>
      </w:r>
      <w:r>
        <w:rPr>
          <w:rFonts w:hint="eastAsia" w:ascii="仿宋_GB2312" w:hAnsi="黑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其他检察支出（项）</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68.02</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w:t>
      </w:r>
      <w:r>
        <w:rPr>
          <w:rFonts w:hint="eastAsia" w:ascii="仿宋_GB2312" w:hAnsi="黑体" w:eastAsia="仿宋_GB2312"/>
          <w:sz w:val="32"/>
          <w:szCs w:val="32"/>
        </w:rPr>
        <w:t>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2.1万元</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color w:val="auto"/>
          <w:sz w:val="32"/>
          <w:szCs w:val="32"/>
          <w:lang w:eastAsia="zh-CN"/>
        </w:rPr>
        <w:t>聘用制书记员管理</w:t>
      </w:r>
      <w:r>
        <w:rPr>
          <w:rFonts w:hint="eastAsia" w:ascii="仿宋_GB2312" w:hAnsi="黑体" w:eastAsia="仿宋_GB2312" w:cs="仿宋_GB2312"/>
          <w:color w:val="auto"/>
          <w:sz w:val="32"/>
          <w:szCs w:val="32"/>
          <w:lang w:val="en-US" w:eastAsia="zh-CN"/>
        </w:rPr>
        <w:t>经费增加</w:t>
      </w:r>
      <w:r>
        <w:rPr>
          <w:rFonts w:hint="eastAsia" w:ascii="仿宋_GB2312" w:hAnsi="黑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5.教育支出（类）进修及培训（款）培训支出（项）2024年预算数为5万元，较2023年预算数增加2万元，主要原因：各业务部门培训任务增加，该预算相应增加。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lang w:eastAsia="zh-CN"/>
        </w:rPr>
        <w:t>社会保障和就业支出（类）行政事业单位养老支出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机关事业单位基本养老保险缴费支出（项）</w:t>
      </w:r>
    </w:p>
    <w:p>
      <w:pPr>
        <w:numPr>
          <w:ilvl w:val="0"/>
          <w:numId w:val="0"/>
        </w:num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77.26</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w:t>
      </w:r>
      <w:r>
        <w:rPr>
          <w:rFonts w:hint="eastAsia" w:ascii="仿宋_GB2312" w:hAnsi="黑体" w:eastAsia="仿宋_GB2312"/>
          <w:sz w:val="32"/>
          <w:szCs w:val="32"/>
          <w:highlight w:val="none"/>
          <w:lang w:val="en-US" w:eastAsia="zh-CN"/>
        </w:rPr>
        <w:t>预算数减少4.95万元，主要原因：缴费基数调整</w:t>
      </w:r>
      <w:r>
        <w:rPr>
          <w:rFonts w:hint="eastAsia" w:ascii="仿宋_GB2312" w:hAnsi="黑体"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社会保障和就业支出（类）行政事业单位养老支出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机关事业单位职业年金缴费支出（项）</w:t>
      </w:r>
    </w:p>
    <w:p>
      <w:pPr>
        <w:numPr>
          <w:ilvl w:val="0"/>
          <w:numId w:val="0"/>
        </w:num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144.25</w:t>
      </w:r>
      <w:r>
        <w:rPr>
          <w:rFonts w:hint="eastAsia" w:ascii="仿宋_GB2312" w:hAnsi="黑体" w:eastAsia="仿宋_GB2312"/>
          <w:sz w:val="32"/>
          <w:szCs w:val="32"/>
        </w:rPr>
        <w:t>万元</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2023年预算增加103.14万元。主要原因：职业年金纪实。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8.卫生健康支出（类）行政事业单位医疗（款）行政单位医疗（项）</w:t>
      </w:r>
    </w:p>
    <w:p>
      <w:pPr>
        <w:numPr>
          <w:ilvl w:val="0"/>
          <w:numId w:val="0"/>
        </w:numPr>
        <w:ind w:left="0" w:leftChars="0"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35.83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，较2023年</w:t>
      </w:r>
      <w:r>
        <w:rPr>
          <w:rFonts w:hint="eastAsia" w:ascii="仿宋_GB2312" w:hAnsi="黑体" w:eastAsia="仿宋_GB2312"/>
          <w:sz w:val="32"/>
          <w:szCs w:val="32"/>
        </w:rPr>
        <w:t>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2.97万元，主要原因：缴费基数调整。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9.卫生健康支出（类）行政事业单位医疗（款）公务员医疗补助（项）</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77.17</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，较2023年</w:t>
      </w:r>
      <w:r>
        <w:rPr>
          <w:rFonts w:hint="eastAsia" w:ascii="仿宋_GB2312" w:hAnsi="黑体" w:eastAsia="仿宋_GB2312"/>
          <w:sz w:val="32"/>
          <w:szCs w:val="32"/>
          <w:highlight w:val="none"/>
        </w:rPr>
        <w:t>预算数</w:t>
      </w:r>
      <w:r>
        <w:rPr>
          <w:rFonts w:hint="eastAsia" w:ascii="仿宋_GB2312" w:hAnsi="黑体" w:eastAsia="仿宋_GB2312"/>
          <w:sz w:val="32"/>
          <w:szCs w:val="32"/>
          <w:highlight w:val="none"/>
          <w:lang w:eastAsia="zh-CN"/>
        </w:rPr>
        <w:t>增</w:t>
      </w:r>
      <w:r>
        <w:rPr>
          <w:rFonts w:hint="eastAsia" w:ascii="仿宋_GB2312" w:hAnsi="黑体" w:eastAsia="仿宋_GB2312"/>
          <w:sz w:val="32"/>
          <w:szCs w:val="32"/>
          <w:highlight w:val="none"/>
          <w:lang w:val="en-US" w:eastAsia="zh-CN"/>
        </w:rPr>
        <w:t>加7.64万元，主要原因：2024年缴费基数调整，且在编干警人员增多，预算增加。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10.住房保障支出（类）住房改革支出（款）住房公积金（项）</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71.58</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lang w:val="en-US" w:eastAsia="zh-CN"/>
        </w:rPr>
        <w:t>2023年</w:t>
      </w:r>
      <w:r>
        <w:rPr>
          <w:rFonts w:hint="eastAsia" w:ascii="仿宋_GB2312" w:hAnsi="黑体" w:eastAsia="仿宋_GB2312"/>
          <w:sz w:val="32"/>
          <w:szCs w:val="32"/>
          <w:highlight w:val="none"/>
        </w:rPr>
        <w:t>预算数</w:t>
      </w:r>
      <w:r>
        <w:rPr>
          <w:rFonts w:hint="eastAsia" w:ascii="仿宋_GB2312" w:hAnsi="黑体" w:eastAsia="仿宋_GB2312"/>
          <w:sz w:val="32"/>
          <w:szCs w:val="32"/>
          <w:highlight w:val="none"/>
          <w:lang w:val="en-US" w:eastAsia="zh-CN"/>
        </w:rPr>
        <w:t>增加7.87万元，主要原因：2024年缴费基数调整，且在编干警人员增多，预算增加。</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屯昌县人民检察院</w:t>
      </w:r>
      <w:r>
        <w:rPr>
          <w:rFonts w:hint="eastAsia" w:ascii="仿宋_GB2312" w:hAnsi="黑体" w:eastAsia="仿宋_GB2312"/>
          <w:sz w:val="32"/>
          <w:szCs w:val="32"/>
        </w:rPr>
        <w:t>（部门）</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1466.17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人员经费</w:t>
      </w:r>
      <w:r>
        <w:rPr>
          <w:rFonts w:hint="eastAsia" w:ascii="仿宋_GB2312" w:hAnsi="黑体" w:eastAsia="仿宋_GB2312"/>
          <w:sz w:val="32"/>
          <w:szCs w:val="32"/>
          <w:lang w:val="en-US" w:eastAsia="zh-CN"/>
        </w:rPr>
        <w:t>1239.31</w:t>
      </w:r>
      <w:r>
        <w:rPr>
          <w:rFonts w:hint="eastAsia" w:ascii="仿宋_GB2312" w:hAnsi="黑体" w:eastAsia="仿宋_GB2312"/>
          <w:sz w:val="32"/>
          <w:szCs w:val="32"/>
          <w:lang w:eastAsia="zh-CN"/>
        </w:rPr>
        <w:t>万元，主要包括：基本工资、津贴补贴、奖金、机关事业单位基本养老保险缴费、职业年金缴费、城镇职工基本医疗保险费用、公务员医疗补助缴费、其他社会保障缴费、住房公积金、医疗费、其他工资福利支出、邮电费、其他交通费用、奖励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公用经费</w:t>
      </w:r>
      <w:r>
        <w:rPr>
          <w:rFonts w:hint="eastAsia" w:ascii="仿宋_GB2312" w:hAnsi="黑体" w:eastAsia="仿宋_GB2312"/>
          <w:sz w:val="32"/>
          <w:szCs w:val="32"/>
          <w:lang w:val="en-US" w:eastAsia="zh-CN"/>
        </w:rPr>
        <w:t>226.86</w:t>
      </w:r>
      <w:r>
        <w:rPr>
          <w:rFonts w:hint="eastAsia" w:ascii="仿宋_GB2312" w:hAnsi="黑体" w:eastAsia="仿宋_GB2312"/>
          <w:sz w:val="32"/>
          <w:szCs w:val="32"/>
          <w:lang w:eastAsia="zh-CN"/>
        </w:rPr>
        <w:t>万元，主要包括：其他工资福利支出、办公费、印刷费、咨询费、手续费、水费、电费、邮电费、物业管理费、差旅费、维修（护）费、租赁费、培训费、公务接待费、专用燃料费、劳务费、委托业务费、工会经费、公务用车运行维护费、其他商品和服务支出、办公设备购置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屯昌县人民检察院202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年“三公”经费预算数为</w:t>
      </w:r>
      <w:r>
        <w:rPr>
          <w:rFonts w:hint="eastAsia" w:ascii="仿宋_GB2312" w:hAnsi="黑体" w:eastAsia="仿宋_GB2312"/>
          <w:sz w:val="32"/>
          <w:szCs w:val="32"/>
          <w:lang w:val="en-US" w:eastAsia="zh-CN"/>
        </w:rPr>
        <w:t>18.10</w:t>
      </w:r>
      <w:r>
        <w:rPr>
          <w:rFonts w:hint="eastAsia" w:ascii="仿宋_GB2312" w:hAnsi="黑体" w:eastAsia="仿宋_GB2312"/>
          <w:sz w:val="32"/>
          <w:szCs w:val="32"/>
          <w:lang w:eastAsia="zh-CN"/>
        </w:rPr>
        <w:t>万元，其中：</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因公出国（境）经费</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万元，与上年预算持平</w:t>
      </w:r>
      <w:r>
        <w:rPr>
          <w:rFonts w:hint="eastAsia" w:ascii="仿宋_GB2312" w:hAnsi="黑体" w:eastAsia="仿宋_GB2312"/>
          <w:sz w:val="32"/>
          <w:szCs w:val="32"/>
          <w:lang w:val="en-US" w:eastAsia="zh-CN"/>
        </w:rPr>
        <w:t>。2024年我院未安排出国（境）计划。</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公务用车购置及运行费</w:t>
      </w:r>
      <w:r>
        <w:rPr>
          <w:rFonts w:hint="eastAsia" w:ascii="仿宋_GB2312" w:hAnsi="黑体" w:eastAsia="仿宋_GB2312"/>
          <w:sz w:val="32"/>
          <w:szCs w:val="32"/>
          <w:lang w:val="en-US" w:eastAsia="zh-CN"/>
        </w:rPr>
        <w:t>16.1</w:t>
      </w:r>
      <w:r>
        <w:rPr>
          <w:rFonts w:hint="eastAsia" w:ascii="仿宋_GB2312" w:hAnsi="黑体" w:eastAsia="仿宋_GB2312"/>
          <w:sz w:val="32"/>
          <w:szCs w:val="32"/>
          <w:lang w:eastAsia="zh-CN"/>
        </w:rPr>
        <w:t>万元（其中，公务用车购置费</w:t>
      </w:r>
      <w:r>
        <w:rPr>
          <w:rFonts w:hint="eastAsia" w:ascii="仿宋_GB2312" w:hAnsi="黑体" w:eastAsia="仿宋_GB2312"/>
          <w:sz w:val="32"/>
          <w:szCs w:val="32"/>
          <w:lang w:val="en-US" w:eastAsia="zh-CN"/>
        </w:rPr>
        <w:t>0.00</w:t>
      </w:r>
      <w:r>
        <w:rPr>
          <w:rFonts w:hint="eastAsia" w:ascii="仿宋_GB2312" w:hAnsi="黑体" w:eastAsia="仿宋_GB2312"/>
          <w:sz w:val="32"/>
          <w:szCs w:val="32"/>
          <w:lang w:eastAsia="zh-CN"/>
        </w:rPr>
        <w:t>万元，公务用车运行费</w:t>
      </w:r>
      <w:r>
        <w:rPr>
          <w:rFonts w:hint="eastAsia" w:ascii="仿宋_GB2312" w:hAnsi="黑体" w:eastAsia="仿宋_GB2312"/>
          <w:sz w:val="32"/>
          <w:szCs w:val="32"/>
          <w:lang w:val="en-US" w:eastAsia="zh-CN"/>
        </w:rPr>
        <w:t>16.1</w:t>
      </w:r>
      <w:r>
        <w:rPr>
          <w:rFonts w:hint="eastAsia" w:ascii="仿宋_GB2312" w:hAnsi="黑体" w:eastAsia="仿宋_GB2312"/>
          <w:sz w:val="32"/>
          <w:szCs w:val="32"/>
          <w:lang w:eastAsia="zh-CN"/>
        </w:rPr>
        <w:t>万元），较上年预算减少</w:t>
      </w:r>
      <w:r>
        <w:rPr>
          <w:rFonts w:hint="eastAsia" w:ascii="仿宋_GB2312" w:hAnsi="黑体" w:eastAsia="仿宋_GB2312"/>
          <w:sz w:val="32"/>
          <w:szCs w:val="32"/>
          <w:lang w:val="en-US" w:eastAsia="zh-CN"/>
        </w:rPr>
        <w:t>0.99万元，主要原因：严格执行公务用车使用制度，厉行节约，降低行政运行成本，相关公务用车运行费预算</w:t>
      </w:r>
      <w:bookmarkStart w:id="0" w:name="_GoBack"/>
      <w:bookmarkEnd w:id="0"/>
      <w:r>
        <w:rPr>
          <w:rFonts w:hint="eastAsia" w:ascii="仿宋_GB2312" w:hAnsi="黑体" w:eastAsia="仿宋_GB2312"/>
          <w:sz w:val="32"/>
          <w:szCs w:val="32"/>
          <w:lang w:val="en-US" w:eastAsia="zh-CN"/>
        </w:rPr>
        <w:t>减少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2024年我院车辆编制数为7辆，实有数7辆。其中执法执勤用车2辆，机要通信车1辆，特种专业技术用车4辆。</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公务接待费</w:t>
      </w:r>
      <w:r>
        <w:rPr>
          <w:rFonts w:hint="eastAsia" w:ascii="仿宋_GB2312" w:hAnsi="黑体" w:eastAsia="仿宋_GB2312"/>
          <w:sz w:val="32"/>
          <w:szCs w:val="32"/>
          <w:lang w:val="en-US" w:eastAsia="zh-CN"/>
        </w:rPr>
        <w:t>2.00</w:t>
      </w:r>
      <w:r>
        <w:rPr>
          <w:rFonts w:hint="eastAsia" w:ascii="仿宋_GB2312" w:hAnsi="黑体" w:eastAsia="仿宋_GB2312"/>
          <w:sz w:val="32"/>
          <w:szCs w:val="32"/>
          <w:lang w:eastAsia="zh-CN"/>
        </w:rPr>
        <w:t>万元，与上年预算持平</w:t>
      </w:r>
      <w:r>
        <w:rPr>
          <w:rFonts w:hint="eastAsia" w:ascii="仿宋_GB2312" w:hAnsi="黑体" w:eastAsia="仿宋_GB2312"/>
          <w:sz w:val="32"/>
          <w:szCs w:val="32"/>
          <w:lang w:val="en-US" w:eastAsia="zh-CN"/>
        </w:rPr>
        <w:t>。2024年计划接待人数20批次，115人次。</w:t>
      </w:r>
    </w:p>
    <w:p>
      <w:pPr>
        <w:numPr>
          <w:ilvl w:val="0"/>
          <w:numId w:val="5"/>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屯昌县人民检察院2024年无政府性基金预算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按照综合预算原则，屯昌县人民检察院所有收入和支出均纳入部门预算管理。收入包括：一般公共预算收入1860.26万元，上年一般公共预算结转26.13万元。支出包括：公共安全支出1475.30万元、教育支出5万、社会保障和就业支出221.51万元、卫生健康支出113万元、住房保障支出71.58万元。屯昌县人民检察院2024年收支总预算1886.39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屯昌县人民检察院2024年收入预算1886.39万元，其中：一般公共预算拨款收入1860.26万元，占比98.61%；上年结转26.13万元，占1.39%。较2023年增加原因：一是根据年度工作安排，执法办案办公经费增加；二是职业年金纪实增加；三是新招录公务员人员经费增加；四是公积金、社保缴费等人员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屯昌县人民检察院</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屯昌县人民检察院2024年支出预算1886.39万元，其中：基本支出1466.17万元，占77.72%；项目支出420.22万元，占22.28%。比上年预算数增加265.94万元，主要原因是：一般公共预算本年收入增加。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2024年屯昌县人民检察院本级机关运行经费预算259.39万元。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仿宋_GB2312" w:hAnsi="黑体" w:eastAsia="仿宋_GB2312"/>
          <w:color w:val="00B0F0"/>
          <w:sz w:val="32"/>
          <w:szCs w:val="32"/>
          <w:lang w:val="en-US" w:eastAsia="zh-CN"/>
        </w:rPr>
      </w:pPr>
      <w:r>
        <w:rPr>
          <w:rFonts w:hint="eastAsia" w:ascii="仿宋_GB2312" w:hAnsi="黑体" w:eastAsia="仿宋_GB2312"/>
          <w:color w:val="auto"/>
          <w:sz w:val="32"/>
          <w:szCs w:val="32"/>
          <w:lang w:val="en-US" w:eastAsia="zh-CN"/>
        </w:rPr>
        <w:t>2024年屯昌县人民检察院本级项目预算单位政府采购预算总额0元。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截至2023年12月31日，屯昌县人民检察院本级预算单位共有车辆7辆，其中我院车辆编制数为7辆，实有数7辆。其中执法执勤用车2辆，机要通信车1辆，特种专业技术用车4辆。单位价值100万元以上设备0台（套）。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2"/>
          <w:szCs w:val="32"/>
        </w:rPr>
        <w:t>屯昌县人民检察院</w:t>
      </w:r>
      <w:r>
        <w:rPr>
          <w:rFonts w:hint="eastAsia" w:ascii="仿宋_GB2312" w:hAnsi="黑体" w:eastAsia="仿宋_GB2312" w:cs="仿宋_GB2312"/>
          <w:sz w:val="32"/>
          <w:szCs w:val="32"/>
          <w:lang w:val="en-US" w:eastAsia="zh-CN"/>
        </w:rPr>
        <w:t>17个</w:t>
      </w:r>
      <w:r>
        <w:rPr>
          <w:rFonts w:hint="eastAsia" w:ascii="仿宋_GB2312" w:hAnsi="黑体" w:eastAsia="仿宋_GB2312" w:cs="仿宋_GB2312"/>
          <w:sz w:val="32"/>
          <w:szCs w:val="32"/>
        </w:rPr>
        <w:t>项目实行绩效目标管理，涉及一般公共预算</w:t>
      </w:r>
      <w:r>
        <w:rPr>
          <w:rFonts w:hint="eastAsia" w:ascii="仿宋_GB2312" w:hAnsi="黑体" w:eastAsia="仿宋_GB2312" w:cs="仿宋_GB2312"/>
          <w:sz w:val="32"/>
          <w:szCs w:val="32"/>
          <w:lang w:val="en-US" w:eastAsia="zh-CN"/>
        </w:rPr>
        <w:t>1860.26</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pPr>
        <w:numPr>
          <w:ilvl w:val="0"/>
          <w:numId w:val="6"/>
        </w:num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聘用制书记员项目，预算安排17.02万元，主要用于不断完善司法人员分类管理，推动聘用制书记员管理制度化、规范化。绩效目标不断完善司法人员分类管理，推动聘用制书记员管理制度化、规范化，保障聘用制书记员办公、培训等各方面支出，提高办案效率.。</w:t>
      </w:r>
    </w:p>
    <w:p>
      <w:pPr>
        <w:numPr>
          <w:ilvl w:val="0"/>
          <w:numId w:val="6"/>
        </w:numPr>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两房（庭）及装备更新维护</w:t>
      </w:r>
      <w:r>
        <w:rPr>
          <w:rFonts w:hint="eastAsia" w:ascii="仿宋_GB2312" w:hAnsi="黑体" w:eastAsia="仿宋_GB2312"/>
          <w:sz w:val="32"/>
          <w:szCs w:val="32"/>
          <w:lang w:val="en-US" w:eastAsia="zh-CN"/>
        </w:rPr>
        <w:t>项目，预算安排20万元，主要用于检察院日常外墙、地板的维护、补漏、防水、防雷设施的维护、部分办公室的装修和维护、门窗和设施等更换等维修。绩效目标保障检察工作顺利实施。</w:t>
      </w:r>
    </w:p>
    <w:p>
      <w:pPr>
        <w:numPr>
          <w:ilvl w:val="0"/>
          <w:numId w:val="6"/>
        </w:numPr>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综合运行事务</w:t>
      </w:r>
      <w:r>
        <w:rPr>
          <w:rFonts w:hint="eastAsia" w:ascii="仿宋_GB2312" w:hAnsi="黑体" w:eastAsia="仿宋_GB2312"/>
          <w:sz w:val="32"/>
          <w:szCs w:val="32"/>
          <w:lang w:val="en-US" w:eastAsia="zh-CN"/>
        </w:rPr>
        <w:t>项目，预算安排68.07万元。主要用于保障单位日常运转，提高预算编制质量，严格执行预算。绩效目标目标做好本院文电、会务、机要、档案、保密等工作，组织协调好重要工作部署、重大决策的贯彻实施，处理和编发检察信息等工作。</w:t>
      </w:r>
    </w:p>
    <w:p>
      <w:pPr>
        <w:jc w:val="both"/>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jc w:val="left"/>
        <w:rPr>
          <w:rFonts w:hint="eastAsia" w:ascii="仿宋_GB2312" w:hAnsi="宋体" w:eastAsia="仿宋_GB2312" w:cs="宋体"/>
          <w:color w:val="000000"/>
          <w:kern w:val="0"/>
          <w:sz w:val="32"/>
          <w:szCs w:val="32"/>
          <w:lang w:eastAsia="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widowControl/>
        <w:suppressLineNumbers w:val="0"/>
        <w:ind w:firstLine="640" w:firstLineChars="200"/>
        <w:jc w:val="left"/>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公共安全</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val="en-US" w:eastAsia="zh-CN"/>
        </w:rPr>
        <w:t>行政运行（项）</w:t>
      </w:r>
      <w:r>
        <w:rPr>
          <w:rFonts w:hint="eastAsia" w:ascii="仿宋_GB2312" w:hAnsi="宋体" w:eastAsia="仿宋_GB2312" w:cs="宋体"/>
          <w:color w:val="000000"/>
          <w:kern w:val="0"/>
          <w:sz w:val="32"/>
          <w:szCs w:val="30"/>
        </w:rPr>
        <w:t>：</w:t>
      </w:r>
      <w:r>
        <w:rPr>
          <w:rFonts w:ascii="仿宋_GB2312" w:hAnsi="仿宋_GB2312" w:eastAsia="仿宋_GB2312" w:cs="仿宋_GB2312"/>
          <w:color w:val="000000"/>
          <w:kern w:val="0"/>
          <w:sz w:val="31"/>
          <w:szCs w:val="31"/>
          <w:lang w:val="en-US" w:eastAsia="zh-CN" w:bidi="ar"/>
        </w:rPr>
        <w:t>用于保障机构正常运行、开展日常工作的基本支出</w:t>
      </w:r>
      <w:r>
        <w:rPr>
          <w:rFonts w:hint="eastAsia" w:ascii="仿宋_GB2312" w:hAnsi="仿宋_GB2312" w:eastAsia="仿宋_GB2312" w:cs="仿宋_GB2312"/>
          <w:color w:val="000000"/>
          <w:kern w:val="0"/>
          <w:sz w:val="31"/>
          <w:szCs w:val="31"/>
          <w:lang w:val="en-US" w:eastAsia="zh-CN" w:bidi="ar"/>
        </w:rPr>
        <w:t>。</w:t>
      </w:r>
    </w:p>
    <w:p>
      <w:pPr>
        <w:widowControl/>
        <w:spacing w:line="560" w:lineRule="exact"/>
        <w:ind w:firstLine="640" w:firstLineChars="200"/>
        <w:rPr>
          <w:rFonts w:hint="eastAsia" w:ascii="仿宋_GB2312" w:hAnsi="宋体" w:eastAsia="仿宋_GB2312" w:cs="宋体"/>
          <w:color w:val="000000"/>
          <w:kern w:val="0"/>
          <w:sz w:val="32"/>
          <w:szCs w:val="30"/>
          <w:lang w:val="zh-CN" w:eastAsia="zh-CN"/>
        </w:rPr>
      </w:pPr>
      <w:r>
        <w:rPr>
          <w:rFonts w:hint="eastAsia" w:ascii="仿宋_GB2312" w:hAnsi="宋体" w:eastAsia="仿宋_GB2312" w:cs="宋体"/>
          <w:color w:val="000000"/>
          <w:kern w:val="0"/>
          <w:sz w:val="32"/>
          <w:szCs w:val="30"/>
          <w:lang w:val="zh-CN" w:eastAsia="zh-CN"/>
        </w:rPr>
        <w:t>十六、公共安全支出（类）检察（款）检察监督（项）：指履行法律监督职能的项目支出。</w:t>
      </w:r>
    </w:p>
    <w:p>
      <w:pPr>
        <w:keepNext w:val="0"/>
        <w:keepLines w:val="0"/>
        <w:widowControl/>
        <w:suppressLineNumbers w:val="0"/>
        <w:ind w:firstLine="640" w:firstLineChars="200"/>
        <w:jc w:val="left"/>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lang w:val="zh-CN" w:eastAsia="zh-CN"/>
        </w:rPr>
        <w:t>公共安全支出（类）检察（款）</w:t>
      </w:r>
      <w:r>
        <w:rPr>
          <w:rFonts w:hint="eastAsia" w:ascii="仿宋_GB2312" w:hAnsi="宋体" w:eastAsia="仿宋_GB2312" w:cs="宋体"/>
          <w:color w:val="000000"/>
          <w:kern w:val="0"/>
          <w:sz w:val="32"/>
          <w:szCs w:val="30"/>
          <w:lang w:val="en-US" w:eastAsia="zh-CN"/>
        </w:rPr>
        <w:t>其他检察支出（项）：</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指除上述项目以外的开展其他检察事务方面专门性工作任务的项目支出。</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十八、社会保障和就业支出（类）</w:t>
      </w:r>
      <w:r>
        <w:rPr>
          <w:rFonts w:hint="eastAsia" w:ascii="仿宋" w:hAnsi="仿宋" w:eastAsia="仿宋" w:cs="仿宋"/>
          <w:sz w:val="32"/>
          <w:szCs w:val="32"/>
          <w:lang w:bidi="ar"/>
        </w:rPr>
        <w:t>行政事业单位</w:t>
      </w:r>
      <w:r>
        <w:rPr>
          <w:rFonts w:hint="eastAsia" w:ascii="仿宋" w:hAnsi="仿宋" w:eastAsia="仿宋" w:cs="仿宋"/>
          <w:sz w:val="32"/>
          <w:szCs w:val="32"/>
          <w:lang w:eastAsia="zh-CN" w:bidi="ar"/>
        </w:rPr>
        <w:t>养老支出</w:t>
      </w:r>
      <w:r>
        <w:rPr>
          <w:rFonts w:hint="eastAsia" w:ascii="仿宋_GB2312" w:hAnsi="宋体" w:eastAsia="仿宋_GB2312" w:cs="宋体"/>
          <w:color w:val="000000"/>
          <w:kern w:val="0"/>
          <w:sz w:val="32"/>
          <w:szCs w:val="30"/>
          <w:lang w:val="zh-CN"/>
        </w:rPr>
        <w:t>（款）机关事业单位基本养老保险缴费支出（项）：指用于机关事业单位养老保险费支出。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十九、社会保障和就业支出（类）抚恤（款）其他优抚支出（项）：指用于优抚对象抚恤</w:t>
      </w:r>
      <w:r>
        <w:rPr>
          <w:rFonts w:hint="eastAsia" w:ascii="仿宋_GB2312" w:hAnsi="宋体" w:eastAsia="仿宋_GB2312" w:cs="宋体"/>
          <w:color w:val="000000"/>
          <w:kern w:val="0"/>
          <w:sz w:val="32"/>
          <w:szCs w:val="30"/>
          <w:lang w:val="zh-CN" w:eastAsia="zh-CN"/>
        </w:rPr>
        <w:t>金</w:t>
      </w:r>
      <w:r>
        <w:rPr>
          <w:rFonts w:hint="eastAsia" w:ascii="仿宋_GB2312" w:hAnsi="宋体" w:eastAsia="仿宋_GB2312" w:cs="宋体"/>
          <w:color w:val="000000"/>
          <w:kern w:val="0"/>
          <w:sz w:val="32"/>
          <w:szCs w:val="30"/>
          <w:lang w:val="zh-CN"/>
        </w:rPr>
        <w:t>的支出。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二十、卫生健康支出（类）行政事业单位医疗（款）行政单位医疗（项）：指用于行政单位医疗缴费支出。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二十一、卫生健康支出（类）行政事业单位医疗（款）公务员医疗补助（项）：指用于公务员医疗补助支出。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二十二、住房保障支出（类）住房改革支出（款）住房公积金（项）：指用于在职职工住房公积金缴费支出。</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50689"/>
    <w:multiLevelType w:val="singleLevel"/>
    <w:tmpl w:val="99A50689"/>
    <w:lvl w:ilvl="0" w:tentative="0">
      <w:start w:val="5"/>
      <w:numFmt w:val="chineseCounting"/>
      <w:suff w:val="nothing"/>
      <w:lvlText w:val="%1、"/>
      <w:lvlJc w:val="left"/>
      <w:rPr>
        <w:rFonts w:hint="eastAsia"/>
      </w:rPr>
    </w:lvl>
  </w:abstractNum>
  <w:abstractNum w:abstractNumId="1">
    <w:nsid w:val="D656ABDD"/>
    <w:multiLevelType w:val="singleLevel"/>
    <w:tmpl w:val="D656ABDD"/>
    <w:lvl w:ilvl="0" w:tentative="0">
      <w:start w:val="1"/>
      <w:numFmt w:val="decimal"/>
      <w:lvlText w:val="%1."/>
      <w:lvlJc w:val="left"/>
      <w:pPr>
        <w:tabs>
          <w:tab w:val="left" w:pos="312"/>
        </w:tabs>
      </w:p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A3E85B"/>
    <w:multiLevelType w:val="singleLevel"/>
    <w:tmpl w:val="53A3E85B"/>
    <w:lvl w:ilvl="0" w:tentative="0">
      <w:start w:val="1"/>
      <w:numFmt w:val="chineseCounting"/>
      <w:suff w:val="nothing"/>
      <w:lvlText w:val="%1、"/>
      <w:lvlJc w:val="left"/>
      <w:rPr>
        <w:rFonts w:hint="eastAsia"/>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1B44"/>
    <w:rsid w:val="00003088"/>
    <w:rsid w:val="00075A39"/>
    <w:rsid w:val="000B08D0"/>
    <w:rsid w:val="0013021A"/>
    <w:rsid w:val="001326C1"/>
    <w:rsid w:val="00173B57"/>
    <w:rsid w:val="00183894"/>
    <w:rsid w:val="001E78DB"/>
    <w:rsid w:val="002530AD"/>
    <w:rsid w:val="002729A7"/>
    <w:rsid w:val="00285DE5"/>
    <w:rsid w:val="00293316"/>
    <w:rsid w:val="002956BC"/>
    <w:rsid w:val="002A59FA"/>
    <w:rsid w:val="002B0ADF"/>
    <w:rsid w:val="002E73B0"/>
    <w:rsid w:val="00321827"/>
    <w:rsid w:val="00336398"/>
    <w:rsid w:val="0036456D"/>
    <w:rsid w:val="003847B6"/>
    <w:rsid w:val="004522A5"/>
    <w:rsid w:val="00474F12"/>
    <w:rsid w:val="0048444F"/>
    <w:rsid w:val="00484AB2"/>
    <w:rsid w:val="00525863"/>
    <w:rsid w:val="00581D7B"/>
    <w:rsid w:val="0059423F"/>
    <w:rsid w:val="005C4CF0"/>
    <w:rsid w:val="005F78BD"/>
    <w:rsid w:val="00610FB9"/>
    <w:rsid w:val="00640059"/>
    <w:rsid w:val="006575CD"/>
    <w:rsid w:val="00670067"/>
    <w:rsid w:val="006871F7"/>
    <w:rsid w:val="00690769"/>
    <w:rsid w:val="006B1FB3"/>
    <w:rsid w:val="00745210"/>
    <w:rsid w:val="0075151D"/>
    <w:rsid w:val="007652FD"/>
    <w:rsid w:val="00767BFA"/>
    <w:rsid w:val="00786240"/>
    <w:rsid w:val="007905C9"/>
    <w:rsid w:val="00793A7F"/>
    <w:rsid w:val="007B3322"/>
    <w:rsid w:val="007E4EAF"/>
    <w:rsid w:val="007F1EA5"/>
    <w:rsid w:val="00810B32"/>
    <w:rsid w:val="00816A87"/>
    <w:rsid w:val="00864A16"/>
    <w:rsid w:val="008A6B53"/>
    <w:rsid w:val="008C1502"/>
    <w:rsid w:val="00914809"/>
    <w:rsid w:val="009262C2"/>
    <w:rsid w:val="00926751"/>
    <w:rsid w:val="00947538"/>
    <w:rsid w:val="0096266B"/>
    <w:rsid w:val="00995DA5"/>
    <w:rsid w:val="009F52FB"/>
    <w:rsid w:val="00A17EC5"/>
    <w:rsid w:val="00A324AA"/>
    <w:rsid w:val="00A545A0"/>
    <w:rsid w:val="00A94D59"/>
    <w:rsid w:val="00AE1D69"/>
    <w:rsid w:val="00AE4D39"/>
    <w:rsid w:val="00C22B8B"/>
    <w:rsid w:val="00C745BA"/>
    <w:rsid w:val="00C82DCE"/>
    <w:rsid w:val="00C91D51"/>
    <w:rsid w:val="00CA7DBE"/>
    <w:rsid w:val="00CD7757"/>
    <w:rsid w:val="00D11314"/>
    <w:rsid w:val="00DC4726"/>
    <w:rsid w:val="00DC65EF"/>
    <w:rsid w:val="00DD3FD8"/>
    <w:rsid w:val="00E27401"/>
    <w:rsid w:val="00E3389C"/>
    <w:rsid w:val="00EB13B5"/>
    <w:rsid w:val="00ED50D0"/>
    <w:rsid w:val="00ED6580"/>
    <w:rsid w:val="00EE30DB"/>
    <w:rsid w:val="00F25292"/>
    <w:rsid w:val="00F36978"/>
    <w:rsid w:val="00F83E2B"/>
    <w:rsid w:val="00F91B44"/>
    <w:rsid w:val="00FB0A31"/>
    <w:rsid w:val="01013100"/>
    <w:rsid w:val="0121554B"/>
    <w:rsid w:val="014365FC"/>
    <w:rsid w:val="01F21918"/>
    <w:rsid w:val="02386666"/>
    <w:rsid w:val="0347669D"/>
    <w:rsid w:val="03C53530"/>
    <w:rsid w:val="04AC0A07"/>
    <w:rsid w:val="04DF38B5"/>
    <w:rsid w:val="05471825"/>
    <w:rsid w:val="055B7645"/>
    <w:rsid w:val="059E15CC"/>
    <w:rsid w:val="0612239C"/>
    <w:rsid w:val="06596F11"/>
    <w:rsid w:val="07EE5EC6"/>
    <w:rsid w:val="080000F0"/>
    <w:rsid w:val="08441BAB"/>
    <w:rsid w:val="09396360"/>
    <w:rsid w:val="09A833D5"/>
    <w:rsid w:val="0AF541EE"/>
    <w:rsid w:val="0C6D24EB"/>
    <w:rsid w:val="0CAC6524"/>
    <w:rsid w:val="0D552F0E"/>
    <w:rsid w:val="0DBB55E3"/>
    <w:rsid w:val="0EFD628B"/>
    <w:rsid w:val="102D43E1"/>
    <w:rsid w:val="10C65807"/>
    <w:rsid w:val="10F338EF"/>
    <w:rsid w:val="116152F3"/>
    <w:rsid w:val="11DF3563"/>
    <w:rsid w:val="13403BEE"/>
    <w:rsid w:val="144D0FCB"/>
    <w:rsid w:val="14BC1389"/>
    <w:rsid w:val="14BD2DF7"/>
    <w:rsid w:val="15142459"/>
    <w:rsid w:val="152A0F75"/>
    <w:rsid w:val="159B4E44"/>
    <w:rsid w:val="165B657A"/>
    <w:rsid w:val="16F34E8D"/>
    <w:rsid w:val="181C1A6A"/>
    <w:rsid w:val="18804E38"/>
    <w:rsid w:val="191B2315"/>
    <w:rsid w:val="19E43DD4"/>
    <w:rsid w:val="1A225BA1"/>
    <w:rsid w:val="1A3B63F2"/>
    <w:rsid w:val="1A6E0288"/>
    <w:rsid w:val="1A7326E8"/>
    <w:rsid w:val="1AC06816"/>
    <w:rsid w:val="1AC52FE0"/>
    <w:rsid w:val="1BC8248D"/>
    <w:rsid w:val="1BF97E5C"/>
    <w:rsid w:val="1C48296D"/>
    <w:rsid w:val="1C5E47D4"/>
    <w:rsid w:val="1D3104FD"/>
    <w:rsid w:val="1E1F4F2F"/>
    <w:rsid w:val="1EDF7510"/>
    <w:rsid w:val="1F1C2AED"/>
    <w:rsid w:val="1F250868"/>
    <w:rsid w:val="1F316A04"/>
    <w:rsid w:val="1F767F83"/>
    <w:rsid w:val="1F8452C0"/>
    <w:rsid w:val="1FB63493"/>
    <w:rsid w:val="203402F9"/>
    <w:rsid w:val="20F82686"/>
    <w:rsid w:val="21317348"/>
    <w:rsid w:val="21E8598A"/>
    <w:rsid w:val="23D44CF0"/>
    <w:rsid w:val="245B16C3"/>
    <w:rsid w:val="24A646B2"/>
    <w:rsid w:val="254B5A0B"/>
    <w:rsid w:val="25A7692B"/>
    <w:rsid w:val="26202AAF"/>
    <w:rsid w:val="26593742"/>
    <w:rsid w:val="277E764A"/>
    <w:rsid w:val="278913FE"/>
    <w:rsid w:val="27B841E6"/>
    <w:rsid w:val="27FD65A1"/>
    <w:rsid w:val="28074137"/>
    <w:rsid w:val="281C0E72"/>
    <w:rsid w:val="28AE1850"/>
    <w:rsid w:val="297D5BCA"/>
    <w:rsid w:val="29C712D7"/>
    <w:rsid w:val="2A8538C7"/>
    <w:rsid w:val="2BC83AC8"/>
    <w:rsid w:val="2C56637A"/>
    <w:rsid w:val="2ECD3338"/>
    <w:rsid w:val="2EDC56CC"/>
    <w:rsid w:val="2F2C145A"/>
    <w:rsid w:val="2F2C20B7"/>
    <w:rsid w:val="2FEA55E3"/>
    <w:rsid w:val="30172902"/>
    <w:rsid w:val="30581321"/>
    <w:rsid w:val="30AC63CD"/>
    <w:rsid w:val="31D24CF0"/>
    <w:rsid w:val="323334C8"/>
    <w:rsid w:val="323817C1"/>
    <w:rsid w:val="324A001D"/>
    <w:rsid w:val="328601FD"/>
    <w:rsid w:val="32D86EC5"/>
    <w:rsid w:val="334F6E74"/>
    <w:rsid w:val="33AB561B"/>
    <w:rsid w:val="33C0718B"/>
    <w:rsid w:val="34671592"/>
    <w:rsid w:val="351835BE"/>
    <w:rsid w:val="356A12DC"/>
    <w:rsid w:val="362A30C9"/>
    <w:rsid w:val="37177C13"/>
    <w:rsid w:val="38BB30C8"/>
    <w:rsid w:val="38F1619D"/>
    <w:rsid w:val="392B0893"/>
    <w:rsid w:val="39C56182"/>
    <w:rsid w:val="39D87B2D"/>
    <w:rsid w:val="3B6822D1"/>
    <w:rsid w:val="3BA364C5"/>
    <w:rsid w:val="3C075009"/>
    <w:rsid w:val="3C283CB9"/>
    <w:rsid w:val="3C87306A"/>
    <w:rsid w:val="3C977429"/>
    <w:rsid w:val="3CB5524D"/>
    <w:rsid w:val="3D8103F3"/>
    <w:rsid w:val="3F645262"/>
    <w:rsid w:val="3FEE695B"/>
    <w:rsid w:val="40001578"/>
    <w:rsid w:val="400742BB"/>
    <w:rsid w:val="409D007F"/>
    <w:rsid w:val="410B723A"/>
    <w:rsid w:val="41511EC0"/>
    <w:rsid w:val="415355A4"/>
    <w:rsid w:val="41ED2A4D"/>
    <w:rsid w:val="421D30FB"/>
    <w:rsid w:val="4239459D"/>
    <w:rsid w:val="43C539FD"/>
    <w:rsid w:val="44044A7E"/>
    <w:rsid w:val="4406248A"/>
    <w:rsid w:val="4467571F"/>
    <w:rsid w:val="45140E46"/>
    <w:rsid w:val="452A4B90"/>
    <w:rsid w:val="45B46168"/>
    <w:rsid w:val="45F017D0"/>
    <w:rsid w:val="465E363B"/>
    <w:rsid w:val="46A42377"/>
    <w:rsid w:val="47751B23"/>
    <w:rsid w:val="47CC1392"/>
    <w:rsid w:val="47D13618"/>
    <w:rsid w:val="483E2027"/>
    <w:rsid w:val="486E4DB9"/>
    <w:rsid w:val="48A912F2"/>
    <w:rsid w:val="48FD3330"/>
    <w:rsid w:val="492D7A66"/>
    <w:rsid w:val="4A213C09"/>
    <w:rsid w:val="4ABA4F36"/>
    <w:rsid w:val="4ACE7725"/>
    <w:rsid w:val="4B863936"/>
    <w:rsid w:val="4C4F678A"/>
    <w:rsid w:val="4C7F4EED"/>
    <w:rsid w:val="4CC738C3"/>
    <w:rsid w:val="4DD32F35"/>
    <w:rsid w:val="4E6422EE"/>
    <w:rsid w:val="4EBA1152"/>
    <w:rsid w:val="4F791EF3"/>
    <w:rsid w:val="4F803473"/>
    <w:rsid w:val="4F8C2D7D"/>
    <w:rsid w:val="4FFF0BF9"/>
    <w:rsid w:val="509A2BA6"/>
    <w:rsid w:val="50B73EFA"/>
    <w:rsid w:val="50C4081F"/>
    <w:rsid w:val="50EA1B90"/>
    <w:rsid w:val="52120938"/>
    <w:rsid w:val="52742F08"/>
    <w:rsid w:val="527F4E07"/>
    <w:rsid w:val="52AA456F"/>
    <w:rsid w:val="5360493A"/>
    <w:rsid w:val="53E65C51"/>
    <w:rsid w:val="546C2112"/>
    <w:rsid w:val="54B76AA5"/>
    <w:rsid w:val="55805C66"/>
    <w:rsid w:val="55AF441D"/>
    <w:rsid w:val="56504DCE"/>
    <w:rsid w:val="57C04CBC"/>
    <w:rsid w:val="57CE0656"/>
    <w:rsid w:val="583A6CDA"/>
    <w:rsid w:val="58A81BB5"/>
    <w:rsid w:val="59483782"/>
    <w:rsid w:val="59D302E9"/>
    <w:rsid w:val="59EB5460"/>
    <w:rsid w:val="5A264608"/>
    <w:rsid w:val="5B3B6728"/>
    <w:rsid w:val="5C403CAF"/>
    <w:rsid w:val="5C5A4BD0"/>
    <w:rsid w:val="5D950C37"/>
    <w:rsid w:val="60261E87"/>
    <w:rsid w:val="60567162"/>
    <w:rsid w:val="615A0C51"/>
    <w:rsid w:val="62123B66"/>
    <w:rsid w:val="638C20A2"/>
    <w:rsid w:val="63CF0810"/>
    <w:rsid w:val="643C5B59"/>
    <w:rsid w:val="68204F8C"/>
    <w:rsid w:val="68571D39"/>
    <w:rsid w:val="686D6B2D"/>
    <w:rsid w:val="6A231928"/>
    <w:rsid w:val="6AA063AD"/>
    <w:rsid w:val="6ACF3BE8"/>
    <w:rsid w:val="6B230B40"/>
    <w:rsid w:val="6B446D80"/>
    <w:rsid w:val="6B491092"/>
    <w:rsid w:val="6BC66387"/>
    <w:rsid w:val="6C796DDB"/>
    <w:rsid w:val="6CBF152E"/>
    <w:rsid w:val="6D7A4F64"/>
    <w:rsid w:val="6DA209F4"/>
    <w:rsid w:val="6DB504DD"/>
    <w:rsid w:val="6EA34EBF"/>
    <w:rsid w:val="6F5900AE"/>
    <w:rsid w:val="6FA23816"/>
    <w:rsid w:val="6FBF47A1"/>
    <w:rsid w:val="70E363D1"/>
    <w:rsid w:val="7110131F"/>
    <w:rsid w:val="71585A3D"/>
    <w:rsid w:val="71EF3BFB"/>
    <w:rsid w:val="72771A4C"/>
    <w:rsid w:val="7646247B"/>
    <w:rsid w:val="766E036B"/>
    <w:rsid w:val="77076F26"/>
    <w:rsid w:val="78114515"/>
    <w:rsid w:val="787D6156"/>
    <w:rsid w:val="78AC335F"/>
    <w:rsid w:val="7A156F97"/>
    <w:rsid w:val="7BE30247"/>
    <w:rsid w:val="7C9A7CA5"/>
    <w:rsid w:val="7D3839AF"/>
    <w:rsid w:val="7D49353C"/>
    <w:rsid w:val="7DA37CA0"/>
    <w:rsid w:val="7DA46088"/>
    <w:rsid w:val="7DBC0043"/>
    <w:rsid w:val="7E496C5C"/>
    <w:rsid w:val="7F197E82"/>
    <w:rsid w:val="7F7707F9"/>
    <w:rsid w:val="7FA3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TotalTime>44</TotalTime>
  <ScaleCrop>false</ScaleCrop>
  <LinksUpToDate>false</LinksUpToDate>
  <CharactersWithSpaces>3666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Administrator</cp:lastModifiedBy>
  <cp:lastPrinted>2023-01-30T08:29:00Z</cp:lastPrinted>
  <dcterms:modified xsi:type="dcterms:W3CDTF">2024-03-18T09:24:08Z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