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none"/>
        </w:rPr>
      </w:pPr>
      <w:bookmarkStart w:id="0" w:name="_GoBack"/>
      <w:bookmarkEnd w:id="0"/>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eastAsia="zh-CN"/>
        </w:rPr>
        <w:t>临高县人民检察院</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wordWrap/>
        <w:adjustRightInd/>
        <w:snapToGrid/>
        <w:spacing w:line="578" w:lineRule="exact"/>
        <w:ind w:right="0"/>
        <w:jc w:val="center"/>
        <w:textAlignment w:val="auto"/>
        <w:outlineLvl w:val="9"/>
        <w:rPr>
          <w:rFonts w:ascii="黑体" w:hAnsi="黑体" w:eastAsia="黑体"/>
          <w:sz w:val="52"/>
          <w:szCs w:val="52"/>
          <w:u w:val="none"/>
        </w:rPr>
      </w:pPr>
      <w:r>
        <w:rPr>
          <w:rFonts w:hint="eastAsia" w:ascii="黑体" w:hAnsi="黑体" w:eastAsia="黑体"/>
          <w:sz w:val="52"/>
          <w:szCs w:val="52"/>
          <w:u w:val="none"/>
        </w:rPr>
        <w:t>目录</w:t>
      </w:r>
    </w:p>
    <w:p>
      <w:pPr>
        <w:pStyle w:val="3"/>
        <w:numPr>
          <w:ilvl w:val="0"/>
          <w:numId w:val="1"/>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sz w:val="32"/>
          <w:szCs w:val="32"/>
          <w:u w:val="none"/>
        </w:rPr>
        <w:t>概况</w:t>
      </w:r>
    </w:p>
    <w:p>
      <w:pPr>
        <w:pStyle w:val="3"/>
        <w:numPr>
          <w:ilvl w:val="0"/>
          <w:numId w:val="2"/>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黑体" w:hAnsi="黑体" w:eastAsia="黑体"/>
          <w:sz w:val="32"/>
          <w:szCs w:val="32"/>
          <w:u w:val="none"/>
        </w:rPr>
        <w:t>主要职能</w:t>
      </w:r>
    </w:p>
    <w:p>
      <w:pPr>
        <w:pStyle w:val="3"/>
        <w:numPr>
          <w:ilvl w:val="0"/>
          <w:numId w:val="2"/>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黑体" w:hAnsi="黑体" w:eastAsia="黑体"/>
          <w:sz w:val="32"/>
          <w:szCs w:val="32"/>
          <w:u w:val="none"/>
        </w:rPr>
        <w:t>部门预算单位构成</w:t>
      </w:r>
    </w:p>
    <w:p>
      <w:pPr>
        <w:pStyle w:val="3"/>
        <w:numPr>
          <w:ilvl w:val="0"/>
          <w:numId w:val="1"/>
        </w:numPr>
        <w:wordWrap/>
        <w:adjustRightInd/>
        <w:snapToGrid/>
        <w:spacing w:line="578" w:lineRule="exact"/>
        <w:ind w:right="0" w:firstLineChars="0"/>
        <w:textAlignment w:val="auto"/>
        <w:outlineLvl w:val="9"/>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年部门预算表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经费支出表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3"/>
        <w:numPr>
          <w:ilvl w:val="0"/>
          <w:numId w:val="3"/>
        </w:numPr>
        <w:wordWrap/>
        <w:adjustRightInd/>
        <w:snapToGrid/>
        <w:spacing w:line="578" w:lineRule="exact"/>
        <w:ind w:right="0" w:firstLineChars="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经费支出表</w:t>
      </w:r>
    </w:p>
    <w:p>
      <w:pPr>
        <w:pStyle w:val="3"/>
        <w:numPr>
          <w:ilvl w:val="0"/>
          <w:numId w:val="3"/>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仿宋_GB2312" w:hAnsi="仿宋_GB2312" w:eastAsia="仿宋_GB2312" w:cs="仿宋_GB2312"/>
          <w:sz w:val="32"/>
          <w:szCs w:val="32"/>
          <w:u w:val="none"/>
        </w:rPr>
        <w:t>部门收支总表</w:t>
      </w:r>
    </w:p>
    <w:p>
      <w:pPr>
        <w:pStyle w:val="3"/>
        <w:numPr>
          <w:ilvl w:val="0"/>
          <w:numId w:val="3"/>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仿宋_GB2312" w:hAnsi="仿宋_GB2312" w:eastAsia="仿宋_GB2312" w:cs="仿宋_GB2312"/>
          <w:sz w:val="32"/>
          <w:szCs w:val="32"/>
          <w:u w:val="none"/>
        </w:rPr>
        <w:t>部门收入总表</w:t>
      </w:r>
    </w:p>
    <w:p>
      <w:pPr>
        <w:pStyle w:val="3"/>
        <w:numPr>
          <w:ilvl w:val="0"/>
          <w:numId w:val="3"/>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仿宋_GB2312" w:hAnsi="仿宋_GB2312" w:eastAsia="仿宋_GB2312" w:cs="仿宋_GB2312"/>
          <w:sz w:val="32"/>
          <w:szCs w:val="32"/>
          <w:u w:val="none"/>
        </w:rPr>
        <w:t>部门支出总表</w:t>
      </w:r>
    </w:p>
    <w:p>
      <w:pPr>
        <w:pStyle w:val="3"/>
        <w:numPr>
          <w:ilvl w:val="0"/>
          <w:numId w:val="3"/>
        </w:numPr>
        <w:wordWrap/>
        <w:adjustRightInd/>
        <w:snapToGrid/>
        <w:spacing w:line="578" w:lineRule="exact"/>
        <w:ind w:right="0" w:firstLineChars="0"/>
        <w:jc w:val="left"/>
        <w:textAlignment w:val="auto"/>
        <w:outlineLvl w:val="9"/>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3"/>
        <w:numPr>
          <w:ilvl w:val="0"/>
          <w:numId w:val="1"/>
        </w:numPr>
        <w:wordWrap/>
        <w:adjustRightInd/>
        <w:snapToGrid/>
        <w:spacing w:line="578" w:lineRule="exact"/>
        <w:ind w:right="0" w:firstLineChars="0"/>
        <w:jc w:val="left"/>
        <w:textAlignment w:val="auto"/>
        <w:outlineLvl w:val="9"/>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年部门预算情况说明</w:t>
      </w:r>
    </w:p>
    <w:p>
      <w:pPr>
        <w:pStyle w:val="3"/>
        <w:numPr>
          <w:ilvl w:val="0"/>
          <w:numId w:val="1"/>
        </w:numPr>
        <w:wordWrap/>
        <w:adjustRightInd/>
        <w:snapToGrid/>
        <w:spacing w:line="578" w:lineRule="exact"/>
        <w:ind w:right="0" w:firstLineChars="0"/>
        <w:jc w:val="left"/>
        <w:textAlignment w:val="auto"/>
        <w:outlineLvl w:val="9"/>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3"/>
        <w:wordWrap/>
        <w:adjustRightInd/>
        <w:snapToGrid/>
        <w:spacing w:line="578" w:lineRule="exact"/>
        <w:ind w:left="1320" w:right="0" w:firstLine="0" w:firstLineChars="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wordWrap/>
        <w:adjustRightInd/>
        <w:snapToGrid/>
        <w:spacing w:line="578" w:lineRule="exact"/>
        <w:ind w:right="0"/>
        <w:jc w:val="left"/>
        <w:textAlignment w:val="auto"/>
        <w:outlineLvl w:val="9"/>
        <w:rPr>
          <w:rFonts w:ascii="黑体" w:hAnsi="黑体" w:eastAsia="黑体"/>
          <w:sz w:val="32"/>
          <w:szCs w:val="32"/>
          <w:u w:val="none"/>
        </w:rPr>
      </w:pPr>
    </w:p>
    <w:p>
      <w:pPr>
        <w:pStyle w:val="3"/>
        <w:numPr>
          <w:ilvl w:val="0"/>
          <w:numId w:val="4"/>
        </w:numPr>
        <w:wordWrap/>
        <w:adjustRightInd/>
        <w:snapToGrid/>
        <w:spacing w:line="578" w:lineRule="exact"/>
        <w:ind w:right="0" w:firstLineChars="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 xml:space="preserve"> </w:t>
      </w:r>
      <w:r>
        <w:rPr>
          <w:rFonts w:hint="default" w:ascii="Times New Roman" w:hAnsi="Times New Roman" w:eastAsia="黑体" w:cs="Times New Roman"/>
          <w:sz w:val="32"/>
          <w:szCs w:val="32"/>
          <w:u w:val="none"/>
          <w:lang w:eastAsia="zh-CN"/>
        </w:rPr>
        <w:t>临高县人民检察院</w:t>
      </w:r>
      <w:r>
        <w:rPr>
          <w:rFonts w:hint="default" w:ascii="Times New Roman" w:hAnsi="Times New Roman" w:eastAsia="黑体" w:cs="Times New Roman"/>
          <w:sz w:val="32"/>
          <w:szCs w:val="32"/>
          <w:u w:val="none"/>
        </w:rPr>
        <w:t>概况</w:t>
      </w:r>
    </w:p>
    <w:p>
      <w:pPr>
        <w:wordWrap/>
        <w:adjustRightInd/>
        <w:snapToGrid/>
        <w:spacing w:line="578" w:lineRule="exact"/>
        <w:ind w:right="0"/>
        <w:jc w:val="left"/>
        <w:textAlignment w:val="auto"/>
        <w:outlineLvl w:val="9"/>
        <w:rPr>
          <w:rFonts w:hint="default" w:ascii="Times New Roman" w:hAnsi="Times New Roman" w:eastAsia="仿宋_GB2312" w:cs="Times New Roman"/>
          <w:sz w:val="32"/>
          <w:szCs w:val="32"/>
          <w:u w:val="none"/>
        </w:rPr>
      </w:pPr>
    </w:p>
    <w:p>
      <w:pPr>
        <w:pStyle w:val="3"/>
        <w:widowControl w:val="0"/>
        <w:numPr>
          <w:numId w:val="0"/>
        </w:numPr>
        <w:wordWrap/>
        <w:adjustRightInd/>
        <w:snapToGrid/>
        <w:spacing w:line="578" w:lineRule="exact"/>
        <w:ind w:left="0" w:leftChars="0" w:right="0" w:firstLine="640" w:firstLineChars="200"/>
        <w:jc w:val="left"/>
        <w:textAlignment w:val="auto"/>
        <w:outlineLvl w:val="9"/>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eastAsia="zh-CN"/>
        </w:rPr>
        <w:t>一、</w:t>
      </w:r>
      <w:r>
        <w:rPr>
          <w:rFonts w:hint="default" w:ascii="Times New Roman" w:hAnsi="Times New Roman" w:eastAsia="黑体" w:cs="Times New Roman"/>
          <w:sz w:val="32"/>
          <w:szCs w:val="32"/>
          <w:u w:val="none"/>
        </w:rPr>
        <w:t>主要职能</w:t>
      </w:r>
    </w:p>
    <w:p>
      <w:pPr>
        <w:pStyle w:val="3"/>
        <w:numPr>
          <w:numId w:val="0"/>
        </w:numPr>
        <w:wordWrap/>
        <w:adjustRightInd/>
        <w:snapToGrid/>
        <w:spacing w:line="578" w:lineRule="exact"/>
        <w:ind w:leftChars="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深入贯彻习近平新时代中国特色社会主义思想，</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依法向临高县人民代表大会及其常务委员会提</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出议案。</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落实上级检察机关研究制定的检察工作计划、发</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展规划，结合本县党委中心工作，制定本院检察工作计划，落实检察工作任务。</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依照法律规定对由本院直接受理的刑事案件和</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上级检察机关交办的案件行使侦查权。</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负责对由本院直接办理或上级检察机关交办的</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刑事案件依法审查批准逮捕、决定逮捕、提起公诉。</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负责辖区内刑事、民事、行政诉讼活动及刑事、</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民事、行政判决和裁定等生效法律文书执行的法律监督工作。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依法对辖区内人民法院确有错误的判决和裁定</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提起抗诉或提请抗诉。</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负责应由本院承办的提起公益诉讼工作。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负责辖区内看守所、社区矫正机关等执法活动的</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法律监督工作。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受理向本院提出的控告申诉。</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对检察工作中具体应用法律的问题进行调查</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研究，依程序向立法机关和上级检察机关提出立法以及司法解释建议。</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开展检察理论研究工作。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负责本院队伍建设、思想政治工作和意识形</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态工作。配合省人民检察院，协同省机构编制部门管理本院的机构设置及人员编制，制定本院相关人员管理办法。负责组织开展本院教育培训工作。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协同组织部门依照干部管理权限，对本院检</w:t>
      </w:r>
    </w:p>
    <w:p>
      <w:pPr>
        <w:pStyle w:val="3"/>
        <w:numPr>
          <w:numId w:val="0"/>
        </w:numPr>
        <w:wordWrap/>
        <w:adjustRightInd/>
        <w:snapToGrid/>
        <w:spacing w:line="578" w:lineRule="exact"/>
        <w:ind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察官进行等级评定和晋升、考核、调配，对本院其他检察人员进行考核、调配、任免。</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负责本院的检务督察工作。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负责本院的财务装备管理工作。</w:t>
      </w:r>
    </w:p>
    <w:p>
      <w:pPr>
        <w:pStyle w:val="3"/>
        <w:numPr>
          <w:ilvl w:val="0"/>
          <w:numId w:val="5"/>
        </w:numPr>
        <w:wordWrap/>
        <w:adjustRightInd/>
        <w:snapToGrid/>
        <w:spacing w:line="578" w:lineRule="exact"/>
        <w:ind w:right="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完成县委、县人大和上级人民检察院交办的</w:t>
      </w:r>
    </w:p>
    <w:p>
      <w:pPr>
        <w:pStyle w:val="3"/>
        <w:numPr>
          <w:numId w:val="0"/>
        </w:numPr>
        <w:wordWrap/>
        <w:adjustRightInd/>
        <w:snapToGrid/>
        <w:spacing w:line="578" w:lineRule="exact"/>
        <w:ind w:left="0" w:leftChars="0" w:right="0" w:firstLine="0" w:firstLineChars="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其他工作。</w:t>
      </w:r>
    </w:p>
    <w:p>
      <w:pPr>
        <w:pStyle w:val="3"/>
        <w:widowControl w:val="0"/>
        <w:numPr>
          <w:numId w:val="0"/>
        </w:numPr>
        <w:wordWrap/>
        <w:adjustRightInd/>
        <w:snapToGrid/>
        <w:spacing w:line="578" w:lineRule="exact"/>
        <w:ind w:left="0" w:leftChars="0" w:right="0" w:firstLine="640" w:firstLineChars="200"/>
        <w:jc w:val="left"/>
        <w:textAlignment w:val="auto"/>
        <w:outlineLvl w:val="9"/>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eastAsia="zh-CN"/>
        </w:rPr>
        <w:t>二、</w:t>
      </w:r>
      <w:r>
        <w:rPr>
          <w:rFonts w:hint="default" w:ascii="Times New Roman" w:hAnsi="Times New Roman" w:eastAsia="黑体" w:cs="Times New Roman"/>
          <w:sz w:val="32"/>
          <w:szCs w:val="32"/>
          <w:u w:val="none"/>
        </w:rPr>
        <w:t>部门预算单位构成</w:t>
      </w:r>
    </w:p>
    <w:p>
      <w:pPr>
        <w:widowControl w:val="0"/>
        <w:wordWrap/>
        <w:adjustRightInd/>
        <w:snapToGrid/>
        <w:spacing w:line="578" w:lineRule="exact"/>
        <w:ind w:left="0" w:leftChars="0" w:right="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lang w:eastAsia="zh-CN"/>
        </w:rPr>
        <w:t>临高县人民检察院</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年部门预算编制范围的</w:t>
      </w:r>
      <w:r>
        <w:rPr>
          <w:rFonts w:hint="default" w:ascii="Times New Roman" w:hAnsi="Times New Roman" w:eastAsia="仿宋_GB2312" w:cs="Times New Roman"/>
          <w:sz w:val="32"/>
          <w:szCs w:val="32"/>
          <w:lang w:eastAsia="zh-CN"/>
        </w:rPr>
        <w:t>只有</w:t>
      </w:r>
      <w:r>
        <w:rPr>
          <w:rFonts w:hint="default" w:ascii="Times New Roman" w:hAnsi="Times New Roman" w:eastAsia="仿宋" w:cs="Times New Roman"/>
          <w:sz w:val="32"/>
          <w:szCs w:val="32"/>
          <w:lang w:val="en-US" w:eastAsia="zh-CN"/>
        </w:rPr>
        <w:t>部门本级1家单位。临高县人民检察院内设机构分别为：办公室、政治部、第一检察部、第二检察部、第三检察部（驻县看守所检察室）、第四检察部、第五检察部、第六检察部（临高县人民检察院检察服务中心）、司法警察大队（与第六检察部合署办公）、派驻新盈检察室、派驻博厚检察室。</w:t>
      </w:r>
    </w:p>
    <w:p>
      <w:pPr>
        <w:wordWrap/>
        <w:adjustRightInd/>
        <w:snapToGrid/>
        <w:spacing w:line="578" w:lineRule="exact"/>
        <w:ind w:right="0" w:firstLine="800" w:firstLineChars="250"/>
        <w:jc w:val="left"/>
        <w:textAlignment w:val="auto"/>
        <w:outlineLvl w:val="9"/>
        <w:rPr>
          <w:rFonts w:hint="default" w:ascii="Times New Roman" w:hAnsi="Times New Roman" w:eastAsia="仿宋" w:cs="Times New Roman"/>
          <w:sz w:val="32"/>
          <w:szCs w:val="32"/>
          <w:lang w:val="en-US" w:eastAsia="zh-CN"/>
        </w:rPr>
      </w:pP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 xml:space="preserve">第二部分 </w:t>
      </w:r>
      <w:r>
        <w:rPr>
          <w:rFonts w:hint="default" w:ascii="Times New Roman" w:hAnsi="Times New Roman" w:eastAsia="仿宋_GB2312" w:cs="Times New Roman"/>
          <w:sz w:val="32"/>
          <w:szCs w:val="32"/>
          <w:u w:val="none"/>
        </w:rPr>
        <w:t xml:space="preserve"> </w:t>
      </w:r>
      <w:r>
        <w:rPr>
          <w:rFonts w:hint="default" w:ascii="Times New Roman" w:hAnsi="Times New Roman" w:eastAsia="黑体" w:cs="Times New Roman"/>
          <w:sz w:val="32"/>
          <w:szCs w:val="32"/>
          <w:u w:val="none"/>
          <w:lang w:eastAsia="zh-CN"/>
        </w:rPr>
        <w:t>临高县人民检察院</w:t>
      </w:r>
      <w:r>
        <w:rPr>
          <w:rFonts w:hint="default" w:ascii="Times New Roman" w:hAnsi="Times New Roman" w:eastAsia="黑体" w:cs="Times New Roman"/>
          <w:sz w:val="32"/>
          <w:szCs w:val="32"/>
          <w:u w:val="none"/>
          <w:lang w:val="en-US" w:eastAsia="zh-CN"/>
        </w:rPr>
        <w:t>2024</w:t>
      </w:r>
      <w:r>
        <w:rPr>
          <w:rFonts w:hint="default" w:ascii="Times New Roman" w:hAnsi="Times New Roman" w:eastAsia="黑体" w:cs="Times New Roman"/>
          <w:sz w:val="32"/>
          <w:szCs w:val="32"/>
          <w:u w:val="none"/>
        </w:rPr>
        <w:t>年部门预算表</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szCs w:val="32"/>
          <w:u w:val="none"/>
        </w:rPr>
      </w:pPr>
    </w:p>
    <w:p>
      <w:pPr>
        <w:numPr>
          <w:ilvl w:val="0"/>
          <w:numId w:val="6"/>
        </w:numPr>
        <w:wordWrap/>
        <w:adjustRightInd/>
        <w:snapToGrid/>
        <w:spacing w:line="578" w:lineRule="exact"/>
        <w:ind w:left="0" w:right="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财政拨款收支总表（见附表）</w:t>
      </w:r>
    </w:p>
    <w:p>
      <w:pPr>
        <w:numPr>
          <w:ilvl w:val="0"/>
          <w:numId w:val="7"/>
        </w:numPr>
        <w:wordWrap/>
        <w:adjustRightInd/>
        <w:snapToGrid/>
        <w:spacing w:line="578" w:lineRule="exact"/>
        <w:ind w:left="0" w:right="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一般公共预算支出表（见附表）</w:t>
      </w:r>
    </w:p>
    <w:p>
      <w:pPr>
        <w:numPr>
          <w:ilvl w:val="0"/>
          <w:numId w:val="8"/>
        </w:numPr>
        <w:wordWrap/>
        <w:adjustRightInd/>
        <w:snapToGrid/>
        <w:spacing w:line="578" w:lineRule="exact"/>
        <w:ind w:left="0" w:right="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一般公共预算基本支出表（见附表）</w:t>
      </w:r>
    </w:p>
    <w:p>
      <w:pPr>
        <w:numPr>
          <w:ilvl w:val="0"/>
          <w:numId w:val="9"/>
        </w:numPr>
        <w:wordWrap/>
        <w:adjustRightInd/>
        <w:snapToGrid/>
        <w:spacing w:line="578" w:lineRule="exact"/>
        <w:ind w:left="0" w:right="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一般公共预算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经费支出表（见附表）</w:t>
      </w:r>
    </w:p>
    <w:p>
      <w:pPr>
        <w:wordWrap/>
        <w:adjustRightInd/>
        <w:snapToGrid/>
        <w:spacing w:line="578" w:lineRule="exact"/>
        <w:ind w:left="0" w:right="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五、政府性基金预算支出表（见附表，因无政府性基</w:t>
      </w:r>
    </w:p>
    <w:p>
      <w:pPr>
        <w:wordWrap/>
        <w:adjustRightInd/>
        <w:snapToGrid/>
        <w:spacing w:line="578" w:lineRule="exact"/>
        <w:ind w:right="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金预算，此表为空表）</w:t>
      </w:r>
    </w:p>
    <w:p>
      <w:pPr>
        <w:numPr>
          <w:numId w:val="0"/>
        </w:numPr>
        <w:wordWrap/>
        <w:adjustRightInd/>
        <w:snapToGrid/>
        <w:spacing w:line="578" w:lineRule="exact"/>
        <w:ind w:left="0" w:right="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政府性基金预算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经费支出表（见附表，</w:t>
      </w:r>
    </w:p>
    <w:p>
      <w:pPr>
        <w:numPr>
          <w:numId w:val="0"/>
        </w:numPr>
        <w:wordWrap/>
        <w:adjustRightInd/>
        <w:snapToGrid/>
        <w:spacing w:line="578" w:lineRule="exact"/>
        <w:ind w:right="0" w:firstLine="0" w:firstLineChars="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因无政府性基金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预算，此表为空表）</w:t>
      </w:r>
    </w:p>
    <w:p>
      <w:pPr>
        <w:numPr>
          <w:numId w:val="0"/>
        </w:numPr>
        <w:wordWrap/>
        <w:adjustRightInd/>
        <w:snapToGrid/>
        <w:spacing w:line="578" w:lineRule="exact"/>
        <w:ind w:left="0" w:right="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七、</w:t>
      </w:r>
      <w:r>
        <w:rPr>
          <w:rFonts w:hint="default" w:ascii="Times New Roman" w:hAnsi="Times New Roman" w:eastAsia="仿宋_GB2312" w:cs="Times New Roman"/>
          <w:color w:val="000000"/>
          <w:sz w:val="32"/>
          <w:szCs w:val="32"/>
        </w:rPr>
        <w:t>部门收支总表（见附表）</w:t>
      </w:r>
    </w:p>
    <w:p>
      <w:pPr>
        <w:numPr>
          <w:ilvl w:val="0"/>
          <w:numId w:val="10"/>
        </w:numPr>
        <w:wordWrap/>
        <w:adjustRightInd/>
        <w:snapToGrid/>
        <w:spacing w:line="578" w:lineRule="exact"/>
        <w:ind w:left="640" w:right="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部门收入总表（见附表）</w:t>
      </w:r>
    </w:p>
    <w:p>
      <w:pPr>
        <w:numPr>
          <w:ilvl w:val="0"/>
          <w:numId w:val="10"/>
        </w:numPr>
        <w:wordWrap/>
        <w:adjustRightInd/>
        <w:snapToGrid/>
        <w:spacing w:line="578" w:lineRule="exact"/>
        <w:ind w:left="640" w:right="0" w:firstLineChars="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部门支出总表（见附表）</w:t>
      </w:r>
    </w:p>
    <w:p>
      <w:pPr>
        <w:numPr>
          <w:numId w:val="0"/>
        </w:numPr>
        <w:wordWrap/>
        <w:adjustRightInd/>
        <w:snapToGrid/>
        <w:spacing w:line="578" w:lineRule="exact"/>
        <w:ind w:left="640" w:right="0" w:firstLineChars="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仿宋_GB2312" w:cs="Times New Roman"/>
          <w:color w:val="000000"/>
          <w:sz w:val="32"/>
          <w:szCs w:val="32"/>
          <w:lang w:val="en-US" w:eastAsia="zh-CN"/>
        </w:rPr>
        <w:t>十、</w:t>
      </w:r>
      <w:r>
        <w:rPr>
          <w:rFonts w:hint="default" w:ascii="Times New Roman" w:hAnsi="Times New Roman" w:eastAsia="仿宋_GB2312" w:cs="Times New Roman"/>
          <w:color w:val="000000"/>
          <w:sz w:val="32"/>
          <w:szCs w:val="32"/>
        </w:rPr>
        <w:t>项目支出绩效信息表（见附表）</w:t>
      </w:r>
    </w:p>
    <w:p>
      <w:pPr>
        <w:wordWrap/>
        <w:adjustRightInd/>
        <w:snapToGrid/>
        <w:spacing w:line="578" w:lineRule="exact"/>
        <w:ind w:right="0"/>
        <w:textAlignment w:val="auto"/>
        <w:outlineLvl w:val="9"/>
        <w:rPr>
          <w:rFonts w:hint="default" w:ascii="Times New Roman" w:hAnsi="Times New Roman" w:eastAsia="黑体" w:cs="Times New Roman"/>
          <w:sz w:val="32"/>
          <w:szCs w:val="32"/>
          <w:u w:val="none"/>
        </w:rPr>
      </w:pPr>
    </w:p>
    <w:p>
      <w:pPr>
        <w:wordWrap/>
        <w:adjustRightInd/>
        <w:snapToGrid/>
        <w:spacing w:line="578" w:lineRule="exact"/>
        <w:ind w:right="0" w:firstLine="480" w:firstLineChars="15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 xml:space="preserve">第三部分  </w:t>
      </w:r>
      <w:r>
        <w:rPr>
          <w:rFonts w:hint="default" w:ascii="Times New Roman" w:hAnsi="Times New Roman" w:eastAsia="黑体" w:cs="Times New Roman"/>
          <w:sz w:val="32"/>
          <w:szCs w:val="32"/>
          <w:u w:val="none"/>
          <w:lang w:eastAsia="zh-CN"/>
        </w:rPr>
        <w:t>临高县人民检察院</w:t>
      </w:r>
      <w:r>
        <w:rPr>
          <w:rFonts w:hint="default" w:ascii="Times New Roman" w:hAnsi="Times New Roman" w:eastAsia="黑体" w:cs="Times New Roman"/>
          <w:sz w:val="32"/>
          <w:szCs w:val="32"/>
          <w:u w:val="none"/>
          <w:lang w:val="en-US" w:eastAsia="zh-CN"/>
        </w:rPr>
        <w:t>2024</w:t>
      </w:r>
      <w:r>
        <w:rPr>
          <w:rFonts w:hint="default" w:ascii="Times New Roman" w:hAnsi="Times New Roman" w:eastAsia="黑体" w:cs="Times New Roman"/>
          <w:sz w:val="32"/>
          <w:szCs w:val="32"/>
          <w:u w:val="none"/>
        </w:rPr>
        <w:t>年部门预算情况说明</w:t>
      </w:r>
    </w:p>
    <w:p>
      <w:pPr>
        <w:wordWrap/>
        <w:adjustRightInd/>
        <w:snapToGrid/>
        <w:spacing w:line="578" w:lineRule="exact"/>
        <w:ind w:right="0"/>
        <w:jc w:val="both"/>
        <w:textAlignment w:val="auto"/>
        <w:outlineLvl w:val="9"/>
        <w:rPr>
          <w:rFonts w:hint="default" w:ascii="Times New Roman" w:hAnsi="Times New Roman" w:eastAsia="黑体" w:cs="Times New Roman"/>
          <w:sz w:val="32"/>
          <w:szCs w:val="32"/>
          <w:u w:val="none"/>
        </w:rPr>
      </w:pPr>
    </w:p>
    <w:p>
      <w:pPr>
        <w:wordWrap/>
        <w:adjustRightInd/>
        <w:snapToGrid/>
        <w:spacing w:line="578" w:lineRule="exact"/>
        <w:ind w:right="0" w:firstLine="640" w:firstLineChars="20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一、关于</w:t>
      </w:r>
      <w:r>
        <w:rPr>
          <w:rFonts w:hint="default" w:ascii="Times New Roman" w:hAnsi="Times New Roman" w:eastAsia="黑体" w:cs="Times New Roman"/>
          <w:sz w:val="32"/>
          <w:szCs w:val="32"/>
          <w:u w:val="none"/>
          <w:lang w:eastAsia="zh-CN"/>
        </w:rPr>
        <w:t>临高县人民检察院</w:t>
      </w:r>
      <w:r>
        <w:rPr>
          <w:rFonts w:hint="default" w:ascii="Times New Roman" w:hAnsi="Times New Roman" w:eastAsia="黑体" w:cs="Times New Roman"/>
          <w:sz w:val="32"/>
          <w:szCs w:val="32"/>
          <w:u w:val="none"/>
          <w:lang w:val="en-US" w:eastAsia="zh-CN"/>
        </w:rPr>
        <w:t>2024</w:t>
      </w:r>
      <w:r>
        <w:rPr>
          <w:rFonts w:hint="default" w:ascii="Times New Roman" w:hAnsi="Times New Roman" w:eastAsia="黑体" w:cs="Times New Roman"/>
          <w:sz w:val="32"/>
          <w:szCs w:val="32"/>
          <w:u w:val="none"/>
        </w:rPr>
        <w:t>年财政拨款收支预算情况的总体说明</w:t>
      </w:r>
    </w:p>
    <w:p>
      <w:pPr>
        <w:widowControl/>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年财政拨款收支总预算</w:t>
      </w:r>
      <w:r>
        <w:rPr>
          <w:rFonts w:hint="default" w:ascii="Times New Roman" w:hAnsi="Times New Roman" w:eastAsia="仿宋_GB2312" w:cs="Times New Roman"/>
          <w:sz w:val="32"/>
          <w:szCs w:val="32"/>
          <w:u w:val="none"/>
          <w:lang w:val="en-US" w:eastAsia="zh-CN"/>
        </w:rPr>
        <w:t>2049.36</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比上年预算数增加</w:t>
      </w:r>
      <w:r>
        <w:rPr>
          <w:rFonts w:hint="default" w:ascii="Times New Roman" w:hAnsi="Times New Roman" w:eastAsia="仿宋_GB2312" w:cs="Times New Roman"/>
          <w:sz w:val="32"/>
          <w:szCs w:val="32"/>
          <w:highlight w:val="none"/>
          <w:u w:val="none"/>
          <w:lang w:eastAsia="zh-CN"/>
        </w:rPr>
        <w:t>2</w:t>
      </w:r>
      <w:r>
        <w:rPr>
          <w:rFonts w:hint="default" w:ascii="Times New Roman" w:hAnsi="Times New Roman" w:eastAsia="仿宋_GB2312" w:cs="Times New Roman"/>
          <w:sz w:val="32"/>
          <w:szCs w:val="32"/>
          <w:highlight w:val="none"/>
          <w:u w:val="none"/>
          <w:lang w:val="en-US" w:eastAsia="zh-CN"/>
        </w:rPr>
        <w:t>58.84万元</w:t>
      </w:r>
      <w:r>
        <w:rPr>
          <w:rFonts w:hint="default" w:ascii="Times New Roman" w:hAnsi="Times New Roman" w:eastAsia="仿宋_GB2312" w:cs="Times New Roman"/>
          <w:sz w:val="32"/>
          <w:szCs w:val="32"/>
          <w:highlight w:val="none"/>
          <w:u w:val="none"/>
        </w:rPr>
        <w:t>，主要</w:t>
      </w:r>
      <w:r>
        <w:rPr>
          <w:rFonts w:hint="default" w:ascii="Times New Roman" w:hAnsi="Times New Roman" w:eastAsia="仿宋_GB2312" w:cs="Times New Roman"/>
          <w:sz w:val="32"/>
          <w:szCs w:val="32"/>
          <w:highlight w:val="none"/>
          <w:u w:val="none"/>
          <w:lang w:eastAsia="zh-CN"/>
        </w:rPr>
        <w:t>一是根据年度工作安排，业务装备费增加；二是职业年金记实增加</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三是新招录公务员人员经费增加</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四是</w:t>
      </w:r>
      <w:r>
        <w:rPr>
          <w:rFonts w:hint="default" w:ascii="Times New Roman" w:hAnsi="Times New Roman" w:eastAsia="仿宋_GB2312" w:cs="Times New Roman"/>
          <w:sz w:val="32"/>
          <w:szCs w:val="32"/>
          <w:highlight w:val="none"/>
          <w:u w:val="none"/>
          <w:lang w:val="en-US" w:eastAsia="zh-CN"/>
        </w:rPr>
        <w:t>公积金、社保缴费等人员经费增加</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u w:val="none"/>
        </w:rPr>
        <w:t>其中，收入总计</w:t>
      </w:r>
      <w:r>
        <w:rPr>
          <w:rFonts w:hint="default" w:ascii="Times New Roman" w:hAnsi="Times New Roman" w:eastAsia="仿宋_GB2312" w:cs="Times New Roman"/>
          <w:sz w:val="32"/>
          <w:szCs w:val="32"/>
          <w:u w:val="none"/>
          <w:lang w:val="en-US"/>
        </w:rPr>
        <w:t>2049.36</w:t>
      </w:r>
      <w:r>
        <w:rPr>
          <w:rFonts w:hint="default" w:ascii="Times New Roman" w:hAnsi="Times New Roman" w:eastAsia="仿宋_GB2312" w:cs="Times New Roman"/>
          <w:sz w:val="32"/>
          <w:szCs w:val="32"/>
          <w:u w:val="none"/>
        </w:rPr>
        <w:t>万元，包括一般公共预算本年收入2020.11万元、上年结转</w:t>
      </w:r>
      <w:r>
        <w:rPr>
          <w:rFonts w:hint="default" w:ascii="Times New Roman" w:hAnsi="Times New Roman" w:eastAsia="仿宋_GB2312" w:cs="Times New Roman"/>
          <w:sz w:val="32"/>
          <w:szCs w:val="32"/>
          <w:u w:val="none"/>
          <w:lang w:val="en-US" w:eastAsia="zh-CN"/>
        </w:rPr>
        <w:t>29.25</w:t>
      </w:r>
      <w:r>
        <w:rPr>
          <w:rFonts w:hint="default" w:ascii="Times New Roman" w:hAnsi="Times New Roman" w:eastAsia="仿宋_GB2312" w:cs="Times New Roman"/>
          <w:sz w:val="32"/>
          <w:szCs w:val="32"/>
          <w:u w:val="none"/>
        </w:rPr>
        <w:t>万元，政府性基金预算本年收入</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万元、上年结转</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万元；支出总计2049.36万元，包括包括</w:t>
      </w:r>
      <w:r>
        <w:rPr>
          <w:rFonts w:hint="default" w:ascii="Times New Roman" w:hAnsi="Times New Roman" w:eastAsia="仿宋_GB2312" w:cs="Times New Roman"/>
          <w:sz w:val="32"/>
          <w:szCs w:val="32"/>
        </w:rPr>
        <w:t>公共安全支出1676.38万元、</w:t>
      </w:r>
      <w:r>
        <w:rPr>
          <w:rFonts w:hint="default" w:ascii="Times New Roman" w:hAnsi="Times New Roman" w:eastAsia="仿宋_GB2312" w:cs="Times New Roman"/>
          <w:sz w:val="32"/>
          <w:szCs w:val="32"/>
          <w:lang w:eastAsia="zh-CN"/>
        </w:rPr>
        <w:t>教育支出</w:t>
      </w:r>
      <w:r>
        <w:rPr>
          <w:rFonts w:hint="default" w:ascii="Times New Roman" w:hAnsi="Times New Roman" w:eastAsia="仿宋_GB2312" w:cs="Times New Roman"/>
          <w:sz w:val="32"/>
          <w:szCs w:val="32"/>
          <w:lang w:val="en-US" w:eastAsia="zh-CN"/>
        </w:rPr>
        <w:t>5.5万元、</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161.24</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125.17</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81.07</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，结转下年</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wordWrap/>
        <w:adjustRightInd/>
        <w:snapToGrid/>
        <w:spacing w:line="578" w:lineRule="exact"/>
        <w:ind w:right="0" w:firstLine="64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二、关于</w:t>
      </w:r>
      <w:r>
        <w:rPr>
          <w:rFonts w:hint="default" w:ascii="Times New Roman" w:hAnsi="Times New Roman" w:eastAsia="黑体" w:cs="Times New Roman"/>
          <w:sz w:val="32"/>
          <w:szCs w:val="32"/>
          <w:u w:val="none"/>
          <w:lang w:eastAsia="zh-CN"/>
        </w:rPr>
        <w:t>临高县人民检察院</w:t>
      </w:r>
      <w:r>
        <w:rPr>
          <w:rFonts w:hint="default" w:ascii="Times New Roman" w:hAnsi="Times New Roman" w:eastAsia="黑体" w:cs="Times New Roman"/>
          <w:sz w:val="32"/>
          <w:szCs w:val="32"/>
          <w:u w:val="none"/>
          <w:lang w:val="en-US" w:eastAsia="zh-CN"/>
        </w:rPr>
        <w:t>2024</w:t>
      </w:r>
      <w:r>
        <w:rPr>
          <w:rFonts w:hint="default" w:ascii="Times New Roman" w:hAnsi="Times New Roman" w:eastAsia="黑体" w:cs="Times New Roman"/>
          <w:sz w:val="32"/>
          <w:szCs w:val="32"/>
          <w:u w:val="none"/>
        </w:rPr>
        <w:t>年一般公共预算当年拨款情况说明</w:t>
      </w:r>
    </w:p>
    <w:p>
      <w:pPr>
        <w:wordWrap/>
        <w:adjustRightInd/>
        <w:snapToGrid/>
        <w:spacing w:line="578" w:lineRule="exact"/>
        <w:ind w:right="0" w:firstLine="640"/>
        <w:jc w:val="left"/>
        <w:textAlignment w:val="auto"/>
        <w:outlineLvl w:val="9"/>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（一）一般公共预算当年规模变化情况</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u w:val="none"/>
          <w:lang w:eastAsia="zh-CN"/>
        </w:rPr>
        <w:t>临高县</w:t>
      </w:r>
      <w:r>
        <w:rPr>
          <w:rFonts w:hint="default" w:ascii="Times New Roman" w:hAnsi="Times New Roman" w:eastAsia="仿宋_GB2312" w:cs="Times New Roman"/>
          <w:sz w:val="32"/>
          <w:szCs w:val="32"/>
          <w:highlight w:val="none"/>
          <w:u w:val="none"/>
          <w:lang w:eastAsia="zh-CN"/>
        </w:rPr>
        <w:t>人民检察院</w:t>
      </w:r>
      <w:r>
        <w:rPr>
          <w:rFonts w:hint="default" w:ascii="Times New Roman" w:hAnsi="Times New Roman" w:eastAsia="仿宋_GB2312" w:cs="Times New Roman"/>
          <w:sz w:val="32"/>
          <w:szCs w:val="32"/>
          <w:highlight w:val="none"/>
          <w:u w:val="none"/>
          <w:lang w:val="en-US" w:eastAsia="zh-CN"/>
        </w:rPr>
        <w:t>2024</w:t>
      </w:r>
      <w:r>
        <w:rPr>
          <w:rFonts w:hint="default" w:ascii="Times New Roman" w:hAnsi="Times New Roman" w:eastAsia="仿宋_GB2312" w:cs="Times New Roman"/>
          <w:sz w:val="32"/>
          <w:szCs w:val="32"/>
          <w:highlight w:val="none"/>
          <w:u w:val="none"/>
        </w:rPr>
        <w:t>年一般公共预算当年拨款</w:t>
      </w:r>
      <w:r>
        <w:rPr>
          <w:rFonts w:hint="default" w:ascii="Times New Roman" w:hAnsi="Times New Roman" w:eastAsia="仿宋_GB2312" w:cs="Times New Roman"/>
          <w:sz w:val="32"/>
          <w:szCs w:val="32"/>
          <w:highlight w:val="none"/>
          <w:u w:val="none"/>
          <w:lang w:val="en-US" w:eastAsia="zh-CN"/>
        </w:rPr>
        <w:t>2020.11</w:t>
      </w:r>
      <w:r>
        <w:rPr>
          <w:rFonts w:hint="default" w:ascii="Times New Roman" w:hAnsi="Times New Roman" w:eastAsia="仿宋_GB2312" w:cs="Times New Roman"/>
          <w:sz w:val="32"/>
          <w:szCs w:val="32"/>
          <w:highlight w:val="none"/>
          <w:u w:val="none"/>
        </w:rPr>
        <w:t>万元，比上年预算数增加</w:t>
      </w:r>
      <w:r>
        <w:rPr>
          <w:rFonts w:hint="default" w:ascii="Times New Roman" w:hAnsi="Times New Roman" w:eastAsia="仿宋_GB2312" w:cs="Times New Roman"/>
          <w:sz w:val="32"/>
          <w:szCs w:val="32"/>
          <w:highlight w:val="none"/>
          <w:u w:val="none"/>
          <w:lang w:val="en-US" w:eastAsia="zh-CN"/>
        </w:rPr>
        <w:t>271.93</w:t>
      </w:r>
      <w:r>
        <w:rPr>
          <w:rFonts w:hint="default" w:ascii="Times New Roman" w:hAnsi="Times New Roman" w:eastAsia="仿宋_GB2312" w:cs="Times New Roman"/>
          <w:sz w:val="32"/>
          <w:szCs w:val="32"/>
          <w:highlight w:val="none"/>
          <w:u w:val="none"/>
        </w:rPr>
        <w:t>万元，主要</w:t>
      </w:r>
      <w:r>
        <w:rPr>
          <w:rFonts w:hint="default" w:ascii="Times New Roman" w:hAnsi="Times New Roman" w:eastAsia="仿宋_GB2312" w:cs="Times New Roman"/>
          <w:sz w:val="32"/>
          <w:szCs w:val="32"/>
          <w:highlight w:val="none"/>
          <w:u w:val="none"/>
          <w:lang w:eastAsia="zh-CN"/>
        </w:rPr>
        <w:t>一是根据年度工作安排，业务装备费增加；二是职业年金记实增加</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三是新招录公务员人员经费增加</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四是</w:t>
      </w:r>
      <w:r>
        <w:rPr>
          <w:rFonts w:hint="default" w:ascii="Times New Roman" w:hAnsi="Times New Roman" w:eastAsia="仿宋_GB2312" w:cs="Times New Roman"/>
          <w:sz w:val="32"/>
          <w:szCs w:val="32"/>
          <w:highlight w:val="none"/>
          <w:u w:val="none"/>
          <w:lang w:val="en-US" w:eastAsia="zh-CN"/>
        </w:rPr>
        <w:t>公积金、社保缴费等人员经费增加</w:t>
      </w:r>
      <w:r>
        <w:rPr>
          <w:rFonts w:hint="default" w:ascii="Times New Roman" w:hAnsi="Times New Roman" w:eastAsia="仿宋_GB2312" w:cs="Times New Roman"/>
          <w:sz w:val="32"/>
          <w:szCs w:val="32"/>
          <w:highlight w:val="none"/>
          <w:u w:val="none"/>
        </w:rPr>
        <w:t>。</w:t>
      </w:r>
    </w:p>
    <w:p>
      <w:pPr>
        <w:wordWrap/>
        <w:adjustRightInd/>
        <w:snapToGrid/>
        <w:spacing w:line="578" w:lineRule="exact"/>
        <w:ind w:right="0" w:firstLine="640"/>
        <w:jc w:val="left"/>
        <w:textAlignment w:val="auto"/>
        <w:outlineLvl w:val="9"/>
        <w:rPr>
          <w:rFonts w:hint="default" w:ascii="Times New Roman" w:hAnsi="Times New Roman" w:eastAsia="楷体" w:cs="Times New Roman"/>
          <w:sz w:val="32"/>
          <w:szCs w:val="32"/>
          <w:highlight w:val="none"/>
          <w:u w:val="none"/>
        </w:rPr>
      </w:pPr>
      <w:r>
        <w:rPr>
          <w:rFonts w:hint="default" w:ascii="Times New Roman" w:hAnsi="Times New Roman" w:eastAsia="楷体" w:cs="Times New Roman"/>
          <w:sz w:val="32"/>
          <w:szCs w:val="32"/>
          <w:highlight w:val="none"/>
          <w:u w:val="none"/>
        </w:rPr>
        <w:t>（二）一般公共预算当年拨款结构情况</w:t>
      </w:r>
    </w:p>
    <w:p>
      <w:pPr>
        <w:wordWrap/>
        <w:adjustRightInd/>
        <w:snapToGrid/>
        <w:spacing w:line="578" w:lineRule="exact"/>
        <w:ind w:right="0" w:firstLine="800" w:firstLineChars="25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公共安全</w:t>
      </w:r>
      <w:r>
        <w:rPr>
          <w:rFonts w:hint="default" w:ascii="Times New Roman" w:hAnsi="Times New Roman" w:eastAsia="仿宋_GB2312" w:cs="Times New Roman"/>
          <w:sz w:val="32"/>
          <w:szCs w:val="32"/>
        </w:rPr>
        <w:t>（类）支出</w:t>
      </w:r>
      <w:r>
        <w:rPr>
          <w:rFonts w:hint="default" w:ascii="Times New Roman" w:hAnsi="Times New Roman" w:eastAsia="仿宋_GB2312" w:cs="Times New Roman"/>
          <w:sz w:val="32"/>
          <w:szCs w:val="32"/>
          <w:lang w:val="en-US" w:eastAsia="zh-CN"/>
        </w:rPr>
        <w:t>1676.38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81.80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教育（类）支出</w:t>
      </w:r>
      <w:r>
        <w:rPr>
          <w:rFonts w:hint="default" w:ascii="Times New Roman" w:hAnsi="Times New Roman" w:eastAsia="仿宋_GB2312" w:cs="Times New Roman"/>
          <w:sz w:val="32"/>
          <w:szCs w:val="32"/>
          <w:u w:val="none"/>
          <w:lang w:val="en-US" w:eastAsia="zh-CN"/>
        </w:rPr>
        <w:t>5.5</w:t>
      </w:r>
      <w:r>
        <w:rPr>
          <w:rFonts w:hint="default"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0.27</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社会保障和就业（类）支出</w:t>
      </w:r>
      <w:r>
        <w:rPr>
          <w:rFonts w:hint="default" w:ascii="Times New Roman" w:hAnsi="Times New Roman" w:eastAsia="仿宋_GB2312" w:cs="Times New Roman"/>
          <w:sz w:val="32"/>
          <w:szCs w:val="32"/>
          <w:lang w:val="en-US" w:eastAsia="zh-CN"/>
        </w:rPr>
        <w:t>161.24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7.87</w:t>
      </w:r>
      <w:r>
        <w:rPr>
          <w:rFonts w:hint="default" w:ascii="Times New Roman" w:hAnsi="Times New Roman" w:eastAsia="仿宋_GB2312" w:cs="Times New Roman"/>
          <w:sz w:val="32"/>
          <w:szCs w:val="32"/>
        </w:rPr>
        <w:t>%；卫生健康（类）支出</w:t>
      </w:r>
      <w:r>
        <w:rPr>
          <w:rFonts w:hint="default" w:ascii="Times New Roman" w:hAnsi="Times New Roman" w:eastAsia="仿宋_GB2312" w:cs="Times New Roman"/>
          <w:sz w:val="32"/>
          <w:szCs w:val="32"/>
          <w:lang w:val="en-US" w:eastAsia="zh-CN"/>
        </w:rPr>
        <w:t>125.17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rPr>
        <w:t>%；住房保障（类）支出</w:t>
      </w:r>
      <w:r>
        <w:rPr>
          <w:rFonts w:hint="default" w:ascii="Times New Roman" w:hAnsi="Times New Roman" w:eastAsia="仿宋_GB2312" w:cs="Times New Roman"/>
          <w:sz w:val="32"/>
          <w:szCs w:val="32"/>
          <w:lang w:val="en-US" w:eastAsia="zh-CN"/>
        </w:rPr>
        <w:t>81.07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3.96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wordWrap/>
        <w:adjustRightInd/>
        <w:snapToGrid/>
        <w:spacing w:line="578" w:lineRule="exact"/>
        <w:ind w:right="0" w:firstLine="640"/>
        <w:jc w:val="left"/>
        <w:textAlignment w:val="auto"/>
        <w:outlineLvl w:val="9"/>
        <w:rPr>
          <w:rFonts w:hint="default" w:ascii="Times New Roman" w:hAnsi="Times New Roman" w:eastAsia="楷体" w:cs="Times New Roman"/>
          <w:sz w:val="32"/>
          <w:szCs w:val="32"/>
          <w:highlight w:val="none"/>
          <w:u w:val="none"/>
        </w:rPr>
      </w:pPr>
      <w:r>
        <w:rPr>
          <w:rFonts w:hint="default" w:ascii="Times New Roman" w:hAnsi="Times New Roman" w:eastAsia="楷体" w:cs="Times New Roman"/>
          <w:sz w:val="32"/>
          <w:szCs w:val="32"/>
          <w:highlight w:val="none"/>
          <w:u w:val="none"/>
        </w:rPr>
        <w:t>（三）一般公共预算当年拨款具体使用情况</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yellow"/>
          <w:u w:val="none"/>
          <w:lang w:eastAsia="zh-CN"/>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sz w:val="32"/>
          <w:szCs w:val="32"/>
          <w:lang w:eastAsia="zh-CN"/>
        </w:rPr>
        <w:t>公共安全支出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检察</w:t>
      </w:r>
      <w:r>
        <w:rPr>
          <w:rFonts w:hint="default" w:ascii="Times New Roman" w:hAnsi="Times New Roman" w:eastAsia="仿宋_GB2312" w:cs="Times New Roman"/>
          <w:sz w:val="32"/>
          <w:szCs w:val="32"/>
        </w:rPr>
        <w:t>（款）行政运行（项）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highlight w:val="none"/>
        </w:rPr>
        <w:t>年预算数为</w:t>
      </w:r>
      <w:r>
        <w:rPr>
          <w:rFonts w:hint="default" w:ascii="Times New Roman" w:hAnsi="Times New Roman" w:eastAsia="仿宋_GB2312" w:cs="Times New Roman"/>
          <w:sz w:val="32"/>
          <w:szCs w:val="32"/>
          <w:highlight w:val="none"/>
          <w:lang w:val="en-US" w:eastAsia="zh-CN"/>
        </w:rPr>
        <w:t>1225.09万元，</w:t>
      </w:r>
      <w:r>
        <w:rPr>
          <w:rFonts w:hint="default" w:ascii="Times New Roman" w:hAnsi="Times New Roman" w:eastAsia="仿宋_GB2312" w:cs="Times New Roman"/>
          <w:sz w:val="32"/>
          <w:szCs w:val="32"/>
          <w:highlight w:val="none"/>
          <w:u w:val="none"/>
        </w:rPr>
        <w:t>比上年预算数</w:t>
      </w:r>
      <w:r>
        <w:rPr>
          <w:rFonts w:hint="default" w:ascii="Times New Roman" w:hAnsi="Times New Roman" w:eastAsia="仿宋_GB2312" w:cs="Times New Roman"/>
          <w:sz w:val="32"/>
          <w:szCs w:val="32"/>
          <w:highlight w:val="none"/>
          <w:u w:val="none"/>
          <w:lang w:eastAsia="zh-CN"/>
        </w:rPr>
        <w:t>增加</w:t>
      </w:r>
      <w:r>
        <w:rPr>
          <w:rFonts w:hint="default" w:ascii="Times New Roman" w:hAnsi="Times New Roman" w:eastAsia="仿宋_GB2312" w:cs="Times New Roman"/>
          <w:sz w:val="32"/>
          <w:szCs w:val="32"/>
          <w:highlight w:val="none"/>
          <w:u w:val="none"/>
          <w:lang w:val="en-US" w:eastAsia="zh-CN"/>
        </w:rPr>
        <w:t>151.82</w:t>
      </w:r>
      <w:r>
        <w:rPr>
          <w:rFonts w:hint="default" w:ascii="Times New Roman" w:hAnsi="Times New Roman" w:eastAsia="仿宋_GB2312" w:cs="Times New Roman"/>
          <w:sz w:val="32"/>
          <w:szCs w:val="32"/>
          <w:highlight w:val="none"/>
          <w:u w:val="none"/>
        </w:rPr>
        <w:t>万元，主要是</w:t>
      </w:r>
      <w:r>
        <w:rPr>
          <w:rFonts w:hint="default" w:ascii="Times New Roman" w:hAnsi="Times New Roman" w:eastAsia="仿宋_GB2312" w:cs="Times New Roman"/>
          <w:sz w:val="32"/>
          <w:szCs w:val="32"/>
          <w:highlight w:val="none"/>
          <w:u w:val="none"/>
          <w:lang w:eastAsia="zh-CN"/>
        </w:rPr>
        <w:t>根据预算编制要求，对人员经费进行调增。</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公共安全支出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sz w:val="32"/>
          <w:szCs w:val="32"/>
          <w:highlight w:val="none"/>
          <w:lang w:eastAsia="zh-CN"/>
        </w:rPr>
        <w:t>检察</w:t>
      </w:r>
      <w:r>
        <w:rPr>
          <w:rFonts w:hint="default" w:ascii="Times New Roman" w:hAnsi="Times New Roman" w:eastAsia="仿宋_GB2312" w:cs="Times New Roman"/>
          <w:sz w:val="32"/>
          <w:szCs w:val="32"/>
          <w:highlight w:val="none"/>
        </w:rPr>
        <w:t>（款）一般行政管理事务（项）</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年预算数为</w:t>
      </w:r>
      <w:r>
        <w:rPr>
          <w:rFonts w:hint="default" w:ascii="Times New Roman" w:hAnsi="Times New Roman" w:eastAsia="仿宋_GB2312" w:cs="Times New Roman"/>
          <w:sz w:val="32"/>
          <w:szCs w:val="32"/>
          <w:highlight w:val="none"/>
          <w:lang w:val="en-US" w:eastAsia="zh-CN"/>
        </w:rPr>
        <w:t>130万元，与</w:t>
      </w:r>
      <w:r>
        <w:rPr>
          <w:rFonts w:hint="default" w:ascii="Times New Roman" w:hAnsi="Times New Roman" w:eastAsia="仿宋_GB2312" w:cs="Times New Roman"/>
          <w:sz w:val="32"/>
          <w:szCs w:val="32"/>
          <w:highlight w:val="none"/>
          <w:u w:val="none"/>
          <w:lang w:eastAsia="zh-CN"/>
        </w:rPr>
        <w:t>去年预算数持平，该项预算未发生变动。</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lang w:eastAsia="zh-CN"/>
        </w:rPr>
        <w:t>公共安全支出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检察</w:t>
      </w:r>
      <w:r>
        <w:rPr>
          <w:rFonts w:hint="default" w:ascii="Times New Roman" w:hAnsi="Times New Roman" w:eastAsia="仿宋_GB2312" w:cs="Times New Roman"/>
          <w:sz w:val="32"/>
          <w:szCs w:val="32"/>
        </w:rPr>
        <w:t>（款）检察监督（项）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207.75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u w:val="none"/>
        </w:rPr>
        <w:t>，比上年预算数增加</w:t>
      </w:r>
      <w:r>
        <w:rPr>
          <w:rFonts w:hint="default" w:ascii="Times New Roman" w:hAnsi="Times New Roman" w:eastAsia="仿宋_GB2312" w:cs="Times New Roman"/>
          <w:sz w:val="32"/>
          <w:szCs w:val="32"/>
          <w:u w:val="none"/>
          <w:lang w:val="en-US" w:eastAsia="zh-CN"/>
        </w:rPr>
        <w:t>37.91</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highlight w:val="none"/>
          <w:u w:val="none"/>
        </w:rPr>
        <w:t>主要</w:t>
      </w:r>
      <w:r>
        <w:rPr>
          <w:rFonts w:hint="default" w:ascii="Times New Roman" w:hAnsi="Times New Roman" w:eastAsia="仿宋_GB2312" w:cs="Times New Roman"/>
          <w:sz w:val="32"/>
          <w:szCs w:val="32"/>
          <w:highlight w:val="none"/>
          <w:u w:val="none"/>
          <w:lang w:eastAsia="zh-CN"/>
        </w:rPr>
        <w:t>是根据年度工作安排，对执法办案业务项目支出进行调增，该项预算相应增加。</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lang w:eastAsia="zh-CN"/>
        </w:rPr>
        <w:t>公共安全支出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检察</w:t>
      </w:r>
      <w:r>
        <w:rPr>
          <w:rFonts w:hint="default" w:ascii="Times New Roman" w:hAnsi="Times New Roman" w:eastAsia="仿宋_GB2312" w:cs="Times New Roman"/>
          <w:sz w:val="32"/>
          <w:szCs w:val="32"/>
        </w:rPr>
        <w:t>（款）其他检察支出（项）</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年预算数为</w:t>
      </w:r>
      <w:r>
        <w:rPr>
          <w:rFonts w:hint="default" w:ascii="Times New Roman" w:hAnsi="Times New Roman" w:eastAsia="仿宋_GB2312" w:cs="Times New Roman"/>
          <w:sz w:val="32"/>
          <w:szCs w:val="32"/>
          <w:highlight w:val="none"/>
          <w:lang w:val="en-US" w:eastAsia="zh-CN"/>
        </w:rPr>
        <w:t>113.53</w:t>
      </w:r>
      <w:r>
        <w:rPr>
          <w:rFonts w:hint="default" w:ascii="Times New Roman" w:hAnsi="Times New Roman" w:eastAsia="仿宋_GB2312" w:cs="Times New Roman"/>
          <w:sz w:val="32"/>
          <w:szCs w:val="32"/>
          <w:highlight w:val="none"/>
          <w:u w:val="none"/>
        </w:rPr>
        <w:t>万元，比上年预算数</w:t>
      </w:r>
      <w:r>
        <w:rPr>
          <w:rFonts w:hint="default" w:ascii="Times New Roman" w:hAnsi="Times New Roman" w:eastAsia="仿宋_GB2312" w:cs="Times New Roman"/>
          <w:sz w:val="32"/>
          <w:szCs w:val="32"/>
          <w:highlight w:val="none"/>
          <w:u w:val="none"/>
          <w:lang w:eastAsia="zh-CN"/>
        </w:rPr>
        <w:t>增加</w:t>
      </w:r>
      <w:r>
        <w:rPr>
          <w:rFonts w:hint="default" w:ascii="Times New Roman" w:hAnsi="Times New Roman" w:eastAsia="仿宋_GB2312" w:cs="Times New Roman"/>
          <w:sz w:val="32"/>
          <w:szCs w:val="32"/>
          <w:highlight w:val="none"/>
          <w:u w:val="none"/>
          <w:lang w:val="en-US" w:eastAsia="zh-CN"/>
        </w:rPr>
        <w:t>4.43</w:t>
      </w:r>
      <w:r>
        <w:rPr>
          <w:rFonts w:hint="default" w:ascii="Times New Roman" w:hAnsi="Times New Roman" w:eastAsia="仿宋_GB2312" w:cs="Times New Roman"/>
          <w:sz w:val="32"/>
          <w:szCs w:val="32"/>
          <w:highlight w:val="none"/>
          <w:u w:val="none"/>
        </w:rPr>
        <w:t>万元，主要</w:t>
      </w:r>
      <w:r>
        <w:rPr>
          <w:rFonts w:hint="default" w:ascii="Times New Roman" w:hAnsi="Times New Roman" w:eastAsia="仿宋_GB2312" w:cs="Times New Roman"/>
          <w:sz w:val="32"/>
          <w:szCs w:val="32"/>
          <w:highlight w:val="none"/>
          <w:u w:val="none"/>
          <w:lang w:eastAsia="zh-CN"/>
        </w:rPr>
        <w:t>是根据年度工作安排，业务装备费、司法救助支出增加。</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教育支出（类）进修及培训（款）培训支出（项）</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年预算数为</w:t>
      </w:r>
      <w:r>
        <w:rPr>
          <w:rFonts w:hint="default" w:ascii="Times New Roman" w:hAnsi="Times New Roman" w:eastAsia="仿宋_GB2312" w:cs="Times New Roman"/>
          <w:sz w:val="32"/>
          <w:szCs w:val="32"/>
          <w:u w:val="none"/>
          <w:lang w:val="en-US" w:eastAsia="zh-CN"/>
        </w:rPr>
        <w:t>5.5</w:t>
      </w:r>
      <w:r>
        <w:rPr>
          <w:rFonts w:hint="default" w:ascii="Times New Roman" w:hAnsi="Times New Roman" w:eastAsia="仿宋_GB2312" w:cs="Times New Roman"/>
          <w:sz w:val="32"/>
          <w:szCs w:val="32"/>
          <w:u w:val="none"/>
        </w:rPr>
        <w:t>万元，比上年预算数增加</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万元，主要是</w:t>
      </w:r>
      <w:r>
        <w:rPr>
          <w:rFonts w:hint="default" w:ascii="Times New Roman" w:hAnsi="Times New Roman" w:eastAsia="仿宋_GB2312" w:cs="Times New Roman"/>
          <w:sz w:val="32"/>
          <w:szCs w:val="32"/>
          <w:u w:val="none"/>
          <w:lang w:eastAsia="zh-CN"/>
        </w:rPr>
        <w:t>培训任务增加，</w:t>
      </w:r>
      <w:r>
        <w:rPr>
          <w:rFonts w:hint="default" w:ascii="Times New Roman" w:hAnsi="Times New Roman" w:eastAsia="仿宋_GB2312" w:cs="Times New Roman"/>
          <w:sz w:val="32"/>
          <w:szCs w:val="32"/>
          <w:highlight w:val="none"/>
          <w:u w:val="none"/>
          <w:lang w:eastAsia="zh-CN"/>
        </w:rPr>
        <w:t>该项预算相应增加。</w:t>
      </w:r>
    </w:p>
    <w:p>
      <w:pPr>
        <w:numPr>
          <w:numId w:val="0"/>
        </w:numPr>
        <w:wordWrap/>
        <w:adjustRightInd/>
        <w:snapToGrid/>
        <w:spacing w:line="578" w:lineRule="exact"/>
        <w:ind w:right="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社会保障和</w:t>
      </w:r>
      <w:r>
        <w:rPr>
          <w:rFonts w:hint="default" w:ascii="Times New Roman" w:hAnsi="Times New Roman" w:eastAsia="仿宋" w:cs="Times New Roman"/>
          <w:sz w:val="32"/>
          <w:szCs w:val="32"/>
        </w:rPr>
        <w:t>就业</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w:t>
      </w:r>
      <w:r>
        <w:rPr>
          <w:rFonts w:hint="default" w:ascii="Times New Roman" w:hAnsi="Times New Roman" w:eastAsia="仿宋" w:cs="Times New Roman"/>
          <w:sz w:val="32"/>
          <w:szCs w:val="32"/>
          <w:lang w:eastAsia="zh-CN"/>
        </w:rPr>
        <w:t>养老支出</w:t>
      </w:r>
      <w:r>
        <w:rPr>
          <w:rFonts w:hint="default" w:ascii="Times New Roman" w:hAnsi="Times New Roman" w:eastAsia="仿宋" w:cs="Times New Roman"/>
          <w:sz w:val="32"/>
          <w:szCs w:val="32"/>
        </w:rPr>
        <w:t>（款）机关事业单位基本养老保险缴费支出（项）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84.78</w:t>
      </w:r>
      <w:r>
        <w:rPr>
          <w:rFonts w:hint="default" w:ascii="Times New Roman" w:hAnsi="Times New Roman" w:eastAsia="仿宋_GB2312" w:cs="Times New Roman"/>
          <w:sz w:val="32"/>
          <w:szCs w:val="32"/>
        </w:rPr>
        <w:t>万元，比上年预算数</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万元</w:t>
      </w:r>
      <w:r>
        <w:rPr>
          <w:rFonts w:hint="default" w:ascii="Times New Roman" w:hAnsi="Times New Roman" w:eastAsia="仿宋" w:cs="Times New Roman"/>
          <w:sz w:val="32"/>
          <w:szCs w:val="32"/>
        </w:rPr>
        <w:t>，主要是</w:t>
      </w:r>
      <w:r>
        <w:rPr>
          <w:rFonts w:hint="default" w:ascii="Times New Roman" w:hAnsi="Times New Roman" w:eastAsia="仿宋" w:cs="Times New Roman"/>
          <w:sz w:val="32"/>
          <w:szCs w:val="32"/>
          <w:lang w:eastAsia="zh-CN"/>
        </w:rPr>
        <w:t>缴费基数调整。</w:t>
      </w:r>
    </w:p>
    <w:p>
      <w:pPr>
        <w:wordWrap/>
        <w:adjustRightInd/>
        <w:snapToGrid/>
        <w:spacing w:line="578" w:lineRule="exact"/>
        <w:ind w:right="0"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sz w:val="32"/>
          <w:szCs w:val="32"/>
        </w:rPr>
        <w:t>社会保障和就业</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（类）行政事业单位</w:t>
      </w:r>
      <w:r>
        <w:rPr>
          <w:rFonts w:hint="default" w:ascii="Times New Roman" w:hAnsi="Times New Roman" w:eastAsia="仿宋" w:cs="Times New Roman"/>
          <w:sz w:val="32"/>
          <w:szCs w:val="32"/>
          <w:lang w:eastAsia="zh-CN"/>
        </w:rPr>
        <w:t>养老支出</w:t>
      </w:r>
      <w:r>
        <w:rPr>
          <w:rFonts w:hint="default" w:ascii="Times New Roman" w:hAnsi="Times New Roman" w:eastAsia="仿宋" w:cs="Times New Roman"/>
          <w:sz w:val="32"/>
          <w:szCs w:val="32"/>
        </w:rPr>
        <w:t>（款）机关事业单位职业年金缴费支出（项）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75.75</w:t>
      </w:r>
      <w:r>
        <w:rPr>
          <w:rFonts w:hint="default" w:ascii="Times New Roman" w:hAnsi="Times New Roman" w:eastAsia="仿宋_GB2312" w:cs="Times New Roman"/>
          <w:sz w:val="32"/>
          <w:szCs w:val="32"/>
        </w:rPr>
        <w:t>万元，比上年预算数增加</w:t>
      </w:r>
      <w:r>
        <w:rPr>
          <w:rFonts w:hint="default" w:ascii="Times New Roman" w:hAnsi="Times New Roman" w:eastAsia="仿宋_GB2312" w:cs="Times New Roman"/>
          <w:sz w:val="32"/>
          <w:szCs w:val="32"/>
          <w:lang w:val="en-US" w:eastAsia="zh-CN"/>
        </w:rPr>
        <w:t>32.84</w:t>
      </w:r>
      <w:r>
        <w:rPr>
          <w:rFonts w:hint="default" w:ascii="Times New Roman" w:hAnsi="Times New Roman" w:eastAsia="仿宋_GB2312" w:cs="Times New Roman"/>
          <w:sz w:val="32"/>
          <w:szCs w:val="32"/>
        </w:rPr>
        <w:t>万元</w:t>
      </w:r>
      <w:r>
        <w:rPr>
          <w:rFonts w:hint="default" w:ascii="Times New Roman" w:hAnsi="Times New Roman" w:eastAsia="仿宋" w:cs="Times New Roman"/>
          <w:sz w:val="32"/>
          <w:szCs w:val="32"/>
        </w:rPr>
        <w:t>，主要是</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2022年度</w:t>
      </w:r>
      <w:r>
        <w:rPr>
          <w:rFonts w:hint="default" w:ascii="Times New Roman" w:hAnsi="Times New Roman" w:eastAsia="仿宋" w:cs="Times New Roman"/>
          <w:sz w:val="32"/>
          <w:szCs w:val="32"/>
          <w:lang w:eastAsia="zh-CN"/>
        </w:rPr>
        <w:t>职业年金单位缴费部分记实，该项预算相应增加。</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社会保障和就业</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（类）抚恤（款）其他优抚支出（项）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0.71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上年预算数</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0.1万元</w:t>
      </w:r>
      <w:r>
        <w:rPr>
          <w:rFonts w:hint="default" w:ascii="Times New Roman" w:hAnsi="Times New Roman" w:eastAsia="仿宋_GB2312" w:cs="Times New Roman"/>
          <w:sz w:val="32"/>
          <w:szCs w:val="32"/>
          <w:highlight w:val="none"/>
          <w:lang w:eastAsia="zh-CN"/>
        </w:rPr>
        <w:t>，主要原因是遗属减少</w:t>
      </w:r>
      <w:r>
        <w:rPr>
          <w:rFonts w:hint="default" w:ascii="Times New Roman" w:hAnsi="Times New Roman" w:eastAsia="仿宋_GB2312" w:cs="Times New Roman"/>
          <w:sz w:val="32"/>
          <w:szCs w:val="32"/>
          <w:highlight w:val="none"/>
          <w:lang w:val="en-US" w:eastAsia="zh-CN"/>
        </w:rPr>
        <w:t>1人，遗属标准增加</w:t>
      </w:r>
      <w:r>
        <w:rPr>
          <w:rFonts w:hint="default" w:ascii="Times New Roman" w:hAnsi="Times New Roman" w:eastAsia="仿宋_GB2312" w:cs="Times New Roman"/>
          <w:sz w:val="32"/>
          <w:szCs w:val="32"/>
          <w:highlight w:val="none"/>
          <w:lang w:eastAsia="zh-CN"/>
        </w:rPr>
        <w:t>。</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 w:cs="Times New Roman"/>
          <w:sz w:val="32"/>
          <w:szCs w:val="32"/>
        </w:rPr>
        <w:t>（类）行政事业单位医疗（款）行政单位医疗（项）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39.61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比上年预算数</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0.77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，主要是缴费基数调整。</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卫生健康支出</w:t>
      </w:r>
      <w:r>
        <w:rPr>
          <w:rFonts w:hint="default" w:ascii="Times New Roman" w:hAnsi="Times New Roman" w:eastAsia="仿宋" w:cs="Times New Roman"/>
          <w:sz w:val="32"/>
          <w:szCs w:val="32"/>
        </w:rPr>
        <w:t>（类）行政事业单位医疗（款）公务员医疗补助（项）</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年预算数为</w:t>
      </w:r>
      <w:r>
        <w:rPr>
          <w:rFonts w:hint="default" w:ascii="Times New Roman" w:hAnsi="Times New Roman" w:eastAsia="仿宋_GB2312" w:cs="Times New Roman"/>
          <w:sz w:val="32"/>
          <w:szCs w:val="32"/>
          <w:lang w:val="en-US" w:eastAsia="zh-CN"/>
        </w:rPr>
        <w:t>85.56</w:t>
      </w:r>
      <w:r>
        <w:rPr>
          <w:rFonts w:hint="default" w:ascii="Times New Roman" w:hAnsi="Times New Roman" w:eastAsia="仿宋_GB2312" w:cs="Times New Roman"/>
          <w:sz w:val="32"/>
          <w:szCs w:val="32"/>
        </w:rPr>
        <w:t>万元，比上年预算数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13.98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，主要是增加新招录公务员，人员增加，缴费基数提高。</w:t>
      </w:r>
    </w:p>
    <w:p>
      <w:pPr>
        <w:wordWrap/>
        <w:adjustRightInd/>
        <w:snapToGrid/>
        <w:spacing w:line="578" w:lineRule="exact"/>
        <w:ind w:right="0"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住房保障</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（类）住房改革</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（款）住房公积金（项）</w:t>
      </w:r>
      <w:r>
        <w:rPr>
          <w:rFonts w:hint="default" w:ascii="Times New Roman" w:hAnsi="Times New Roman" w:eastAsia="仿宋_GB2312" w:cs="Times New Roman"/>
          <w:sz w:val="32"/>
          <w:szCs w:val="32"/>
          <w:lang w:val="en-US" w:eastAsia="zh-CN"/>
        </w:rPr>
        <w:t>20</w:t>
      </w: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lang w:eastAsia="zh-CN"/>
        </w:rPr>
        <w:t>年预算数为</w:t>
      </w:r>
      <w:r>
        <w:rPr>
          <w:rFonts w:hint="default" w:ascii="Times New Roman" w:hAnsi="Times New Roman" w:eastAsia="仿宋" w:cs="Times New Roman"/>
          <w:sz w:val="32"/>
          <w:szCs w:val="32"/>
          <w:lang w:val="en-US" w:eastAsia="zh-CN"/>
        </w:rPr>
        <w:t>81.07</w:t>
      </w:r>
      <w:r>
        <w:rPr>
          <w:rFonts w:hint="default" w:ascii="Times New Roman" w:hAnsi="Times New Roman" w:eastAsia="仿宋" w:cs="Times New Roman"/>
          <w:sz w:val="32"/>
          <w:szCs w:val="32"/>
          <w:lang w:eastAsia="zh-CN"/>
        </w:rPr>
        <w:t>万元，比上年预算数增加</w:t>
      </w:r>
      <w:r>
        <w:rPr>
          <w:rFonts w:hint="default" w:ascii="Times New Roman" w:hAnsi="Times New Roman" w:eastAsia="仿宋" w:cs="Times New Roman"/>
          <w:sz w:val="32"/>
          <w:szCs w:val="32"/>
          <w:lang w:val="en-US" w:eastAsia="zh-CN"/>
        </w:rPr>
        <w:t>16.77</w:t>
      </w:r>
      <w:r>
        <w:rPr>
          <w:rFonts w:hint="default" w:ascii="Times New Roman" w:hAnsi="Times New Roman" w:eastAsia="仿宋" w:cs="Times New Roman"/>
          <w:sz w:val="32"/>
          <w:szCs w:val="32"/>
          <w:lang w:eastAsia="zh-CN"/>
        </w:rPr>
        <w:t>万元，主要是增加新招录公务员，人员增加，缴费基数提高。</w:t>
      </w:r>
    </w:p>
    <w:p>
      <w:pPr>
        <w:wordWrap/>
        <w:adjustRightInd/>
        <w:snapToGrid/>
        <w:spacing w:line="578" w:lineRule="exact"/>
        <w:ind w:right="0" w:firstLine="640"/>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highlight w:val="none"/>
          <w:u w:val="none"/>
        </w:rPr>
        <w:t>三、关于</w:t>
      </w:r>
      <w:r>
        <w:rPr>
          <w:rFonts w:hint="default" w:ascii="Times New Roman" w:hAnsi="Times New Roman" w:eastAsia="黑体" w:cs="Times New Roman"/>
          <w:sz w:val="32"/>
          <w:szCs w:val="32"/>
          <w:highlight w:val="none"/>
          <w:u w:val="none"/>
          <w:lang w:eastAsia="zh-CN"/>
        </w:rPr>
        <w:t>临</w:t>
      </w:r>
      <w:r>
        <w:rPr>
          <w:rFonts w:hint="default" w:ascii="Times New Roman" w:hAnsi="Times New Roman" w:eastAsia="黑体" w:cs="Times New Roman"/>
          <w:sz w:val="32"/>
          <w:szCs w:val="32"/>
          <w:u w:val="none"/>
          <w:lang w:eastAsia="zh-CN"/>
        </w:rPr>
        <w:t>高县人民检察院</w:t>
      </w:r>
      <w:r>
        <w:rPr>
          <w:rFonts w:hint="default" w:ascii="Times New Roman" w:hAnsi="Times New Roman" w:eastAsia="黑体" w:cs="Times New Roman"/>
          <w:sz w:val="32"/>
          <w:szCs w:val="32"/>
          <w:u w:val="none"/>
          <w:lang w:val="en-US" w:eastAsia="zh-CN"/>
        </w:rPr>
        <w:t>2024</w:t>
      </w:r>
      <w:r>
        <w:rPr>
          <w:rFonts w:hint="default" w:ascii="Times New Roman" w:hAnsi="Times New Roman" w:eastAsia="黑体" w:cs="Times New Roman"/>
          <w:sz w:val="32"/>
          <w:szCs w:val="32"/>
          <w:u w:val="none"/>
        </w:rPr>
        <w:t>年一般公共预算基本支出情况说明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临高县人民检察院2024</w:t>
      </w:r>
      <w:r>
        <w:rPr>
          <w:rFonts w:hint="default" w:ascii="Times New Roman" w:hAnsi="Times New Roman" w:eastAsia="仿宋_GB2312" w:cs="Times New Roman"/>
          <w:sz w:val="32"/>
          <w:szCs w:val="32"/>
          <w:u w:val="none"/>
        </w:rPr>
        <w:t>年一般公共预算基本支出为</w:t>
      </w:r>
      <w:r>
        <w:rPr>
          <w:rFonts w:hint="default" w:ascii="Times New Roman" w:hAnsi="Times New Roman" w:eastAsia="仿宋_GB2312" w:cs="Times New Roman"/>
          <w:sz w:val="32"/>
          <w:szCs w:val="32"/>
          <w:u w:val="none"/>
          <w:lang w:val="en-US" w:eastAsia="zh-CN"/>
        </w:rPr>
        <w:t>1592.58</w:t>
      </w:r>
      <w:r>
        <w:rPr>
          <w:rFonts w:hint="default" w:ascii="Times New Roman" w:hAnsi="Times New Roman" w:eastAsia="仿宋_GB2312" w:cs="Times New Roman"/>
          <w:sz w:val="32"/>
          <w:szCs w:val="32"/>
          <w:u w:val="none"/>
        </w:rPr>
        <w:t>万元，其中：</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u w:val="none"/>
        </w:rPr>
        <w:t>人员经费</w:t>
      </w:r>
      <w:r>
        <w:rPr>
          <w:rFonts w:hint="default" w:ascii="Times New Roman" w:hAnsi="Times New Roman" w:eastAsia="仿宋_GB2312" w:cs="Times New Roman"/>
          <w:sz w:val="32"/>
          <w:szCs w:val="32"/>
          <w:u w:val="none"/>
          <w:lang w:val="en-US" w:eastAsia="zh-CN"/>
        </w:rPr>
        <w:t>1339.05</w:t>
      </w:r>
      <w:r>
        <w:rPr>
          <w:rFonts w:hint="default" w:ascii="Times New Roman" w:hAnsi="Times New Roman" w:eastAsia="仿宋_GB2312" w:cs="Times New Roman"/>
          <w:sz w:val="32"/>
          <w:szCs w:val="32"/>
          <w:u w:val="none"/>
        </w:rPr>
        <w:t>万元，主要包括：</w:t>
      </w:r>
      <w:r>
        <w:rPr>
          <w:rFonts w:hint="default" w:ascii="Times New Roman" w:hAnsi="Times New Roman" w:eastAsia="仿宋_GB2312" w:cs="Times New Roman"/>
          <w:sz w:val="32"/>
          <w:szCs w:val="32"/>
        </w:rPr>
        <w:t>基本工资、津贴补贴、奖金、</w:t>
      </w:r>
      <w:r>
        <w:rPr>
          <w:rFonts w:hint="default" w:ascii="Times New Roman" w:hAnsi="Times New Roman" w:eastAsia="仿宋_GB2312" w:cs="Times New Roman"/>
          <w:sz w:val="32"/>
          <w:szCs w:val="32"/>
          <w:lang w:eastAsia="zh-CN"/>
        </w:rPr>
        <w:t>机关事业单位基本养老保险缴费、职业年金缴费、职工基本医疗保险缴费、公务员医疗补助缴费、其他</w:t>
      </w:r>
      <w:r>
        <w:rPr>
          <w:rFonts w:hint="default" w:ascii="Times New Roman" w:hAnsi="Times New Roman" w:eastAsia="仿宋_GB2312" w:cs="Times New Roman"/>
          <w:sz w:val="32"/>
          <w:szCs w:val="32"/>
        </w:rPr>
        <w:t>社会保障缴费、</w:t>
      </w:r>
      <w:r>
        <w:rPr>
          <w:rFonts w:hint="default" w:ascii="Times New Roman" w:hAnsi="Times New Roman" w:eastAsia="仿宋_GB2312" w:cs="Times New Roman"/>
          <w:sz w:val="32"/>
          <w:szCs w:val="32"/>
          <w:lang w:eastAsia="zh-CN"/>
        </w:rPr>
        <w:t>住房</w:t>
      </w:r>
      <w:r>
        <w:rPr>
          <w:rFonts w:hint="default" w:ascii="Times New Roman" w:hAnsi="Times New Roman" w:eastAsia="仿宋_GB2312" w:cs="Times New Roman"/>
          <w:sz w:val="32"/>
          <w:szCs w:val="32"/>
        </w:rPr>
        <w:t>公积金、医疗费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其他工资福利支出、邮电费、其他交通费用、生活补助。</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u w:val="none"/>
        </w:rPr>
        <w:t>公用经费</w:t>
      </w:r>
      <w:r>
        <w:rPr>
          <w:rFonts w:hint="default" w:ascii="Times New Roman" w:hAnsi="Times New Roman" w:eastAsia="仿宋_GB2312" w:cs="Times New Roman"/>
          <w:sz w:val="32"/>
          <w:szCs w:val="32"/>
          <w:u w:val="none"/>
          <w:lang w:val="en-US" w:eastAsia="zh-CN"/>
        </w:rPr>
        <w:t>253.52</w:t>
      </w:r>
      <w:r>
        <w:rPr>
          <w:rFonts w:hint="default" w:ascii="Times New Roman" w:hAnsi="Times New Roman" w:eastAsia="仿宋_GB2312" w:cs="Times New Roman"/>
          <w:sz w:val="32"/>
          <w:szCs w:val="32"/>
          <w:u w:val="none"/>
        </w:rPr>
        <w:t>万元，主要包括：</w:t>
      </w:r>
      <w:r>
        <w:rPr>
          <w:rFonts w:hint="default" w:ascii="Times New Roman" w:hAnsi="Times New Roman" w:eastAsia="仿宋_GB2312" w:cs="Times New Roman"/>
          <w:sz w:val="32"/>
          <w:szCs w:val="32"/>
        </w:rPr>
        <w:t>办公费、</w:t>
      </w:r>
      <w:r>
        <w:rPr>
          <w:rFonts w:hint="default" w:ascii="Times New Roman" w:hAnsi="Times New Roman" w:eastAsia="仿宋_GB2312" w:cs="Times New Roman"/>
          <w:sz w:val="32"/>
          <w:szCs w:val="32"/>
          <w:lang w:eastAsia="zh-CN"/>
        </w:rPr>
        <w:t>印刷费、手续费、</w:t>
      </w:r>
      <w:r>
        <w:rPr>
          <w:rFonts w:hint="default" w:ascii="Times New Roman" w:hAnsi="Times New Roman" w:eastAsia="仿宋_GB2312" w:cs="Times New Roman"/>
          <w:sz w:val="32"/>
          <w:szCs w:val="32"/>
        </w:rPr>
        <w:t>水费、电费、邮电费、物业管理费、差旅费、维修（护）费、</w:t>
      </w:r>
      <w:r>
        <w:rPr>
          <w:rFonts w:hint="default" w:ascii="Times New Roman" w:hAnsi="Times New Roman" w:eastAsia="仿宋_GB2312" w:cs="Times New Roman"/>
          <w:sz w:val="32"/>
          <w:szCs w:val="32"/>
          <w:lang w:eastAsia="zh-CN"/>
        </w:rPr>
        <w:t>租赁费、</w:t>
      </w:r>
      <w:r>
        <w:rPr>
          <w:rFonts w:hint="default" w:ascii="Times New Roman" w:hAnsi="Times New Roman" w:eastAsia="仿宋_GB2312" w:cs="Times New Roman"/>
          <w:sz w:val="32"/>
          <w:szCs w:val="32"/>
        </w:rPr>
        <w:t>培训费、</w:t>
      </w:r>
      <w:r>
        <w:rPr>
          <w:rFonts w:hint="default" w:ascii="Times New Roman" w:hAnsi="Times New Roman" w:eastAsia="仿宋_GB2312" w:cs="Times New Roman"/>
          <w:sz w:val="32"/>
          <w:szCs w:val="32"/>
          <w:lang w:eastAsia="zh-CN"/>
        </w:rPr>
        <w:t>公务接待费、专用材料费</w:t>
      </w:r>
      <w:r>
        <w:rPr>
          <w:rFonts w:hint="default" w:ascii="Times New Roman" w:hAnsi="Times New Roman" w:eastAsia="仿宋_GB2312" w:cs="Times New Roman"/>
          <w:sz w:val="32"/>
          <w:szCs w:val="32"/>
          <w:highlight w:val="none"/>
          <w:lang w:eastAsia="zh-CN"/>
        </w:rPr>
        <w:t>、劳务费、</w:t>
      </w:r>
      <w:r>
        <w:rPr>
          <w:rFonts w:hint="default" w:ascii="Times New Roman" w:hAnsi="Times New Roman" w:eastAsia="仿宋_GB2312" w:cs="Times New Roman"/>
          <w:sz w:val="32"/>
          <w:szCs w:val="32"/>
          <w:highlight w:val="none"/>
        </w:rPr>
        <w:t>工</w:t>
      </w:r>
      <w:r>
        <w:rPr>
          <w:rFonts w:hint="default" w:ascii="Times New Roman" w:hAnsi="Times New Roman" w:eastAsia="仿宋_GB2312" w:cs="Times New Roman"/>
          <w:sz w:val="32"/>
          <w:szCs w:val="32"/>
        </w:rPr>
        <w:t>会经费、公务用车运行维护费、</w:t>
      </w:r>
      <w:r>
        <w:rPr>
          <w:rFonts w:hint="default" w:ascii="Times New Roman" w:hAnsi="Times New Roman" w:eastAsia="仿宋_GB2312" w:cs="Times New Roman"/>
          <w:sz w:val="32"/>
          <w:szCs w:val="32"/>
          <w:lang w:eastAsia="zh-CN"/>
        </w:rPr>
        <w:t>其他交通费用、生活补助、办公设备购置、</w:t>
      </w:r>
      <w:r>
        <w:rPr>
          <w:rFonts w:hint="default" w:ascii="Times New Roman" w:hAnsi="Times New Roman" w:eastAsia="仿宋_GB2312" w:cs="Times New Roman"/>
          <w:sz w:val="32"/>
          <w:szCs w:val="32"/>
        </w:rPr>
        <w:t>其他商品和服务</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eastAsia="zh-CN"/>
        </w:rPr>
        <w:t>、其他对个人和家庭的补助</w:t>
      </w:r>
      <w:r>
        <w:rPr>
          <w:rFonts w:hint="default" w:ascii="Times New Roman" w:hAnsi="Times New Roman" w:eastAsia="仿宋_GB2312" w:cs="Times New Roman"/>
          <w:sz w:val="32"/>
          <w:szCs w:val="32"/>
          <w:highlight w:val="none"/>
        </w:rPr>
        <w:t>以及其他工资福利支出。</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u w:val="none"/>
          <w:shd w:val="clear" w:color="auto" w:fill="FFFFFF"/>
        </w:rPr>
      </w:pPr>
      <w:r>
        <w:rPr>
          <w:rFonts w:hint="default" w:ascii="Times New Roman" w:hAnsi="Times New Roman" w:eastAsia="黑体" w:cs="Times New Roman"/>
          <w:sz w:val="32"/>
          <w:u w:val="none"/>
          <w:shd w:val="clear" w:color="auto" w:fill="FFFFFF"/>
        </w:rPr>
        <w:t>四、</w:t>
      </w:r>
      <w:r>
        <w:rPr>
          <w:rFonts w:hint="default" w:ascii="Times New Roman" w:hAnsi="Times New Roman" w:eastAsia="黑体" w:cs="Times New Roman"/>
          <w:sz w:val="32"/>
          <w:szCs w:val="22"/>
          <w:u w:val="none"/>
          <w:shd w:val="clear" w:color="auto" w:fill="FFFFFF"/>
          <w:lang w:eastAsia="zh-CN"/>
        </w:rPr>
        <w:t>临高县人民检察院</w:t>
      </w:r>
      <w:r>
        <w:rPr>
          <w:rFonts w:hint="default" w:ascii="Times New Roman" w:hAnsi="Times New Roman" w:eastAsia="黑体" w:cs="Times New Roman"/>
          <w:sz w:val="32"/>
          <w:szCs w:val="22"/>
          <w:u w:val="none"/>
          <w:shd w:val="clear" w:color="auto" w:fill="FFFFFF"/>
          <w:lang w:val="en-US" w:eastAsia="zh-CN"/>
        </w:rPr>
        <w:t>2024</w:t>
      </w:r>
      <w:r>
        <w:rPr>
          <w:rFonts w:hint="default" w:ascii="Times New Roman" w:hAnsi="Times New Roman" w:eastAsia="黑体" w:cs="Times New Roman"/>
          <w:sz w:val="32"/>
          <w:u w:val="none"/>
          <w:shd w:val="clear" w:color="auto" w:fill="FFFFFF"/>
        </w:rPr>
        <w:t>年</w:t>
      </w:r>
      <w:r>
        <w:rPr>
          <w:rFonts w:hint="eastAsia" w:ascii="Times New Roman" w:hAnsi="Times New Roman" w:eastAsia="黑体" w:cs="Times New Roman"/>
          <w:sz w:val="32"/>
          <w:u w:val="none"/>
          <w:shd w:val="clear" w:color="auto" w:fill="FFFFFF"/>
          <w:lang w:eastAsia="zh-CN"/>
        </w:rPr>
        <w:t>“</w:t>
      </w:r>
      <w:r>
        <w:rPr>
          <w:rFonts w:hint="default" w:ascii="Times New Roman" w:hAnsi="Times New Roman" w:eastAsia="黑体" w:cs="Times New Roman"/>
          <w:sz w:val="32"/>
          <w:u w:val="none"/>
          <w:shd w:val="clear" w:color="auto" w:fill="FFFFFF"/>
        </w:rPr>
        <w:t>三公</w:t>
      </w:r>
      <w:r>
        <w:rPr>
          <w:rFonts w:hint="eastAsia" w:ascii="Times New Roman" w:hAnsi="Times New Roman" w:eastAsia="黑体" w:cs="Times New Roman"/>
          <w:sz w:val="32"/>
          <w:u w:val="none"/>
          <w:shd w:val="clear" w:color="auto" w:fill="FFFFFF"/>
          <w:lang w:eastAsia="zh-CN"/>
        </w:rPr>
        <w:t>”</w:t>
      </w:r>
      <w:r>
        <w:rPr>
          <w:rFonts w:hint="default" w:ascii="Times New Roman" w:hAnsi="Times New Roman" w:eastAsia="黑体" w:cs="Times New Roman"/>
          <w:sz w:val="32"/>
          <w:u w:val="none"/>
          <w:shd w:val="clear" w:color="auto" w:fill="FFFFFF"/>
        </w:rPr>
        <w:t>经费预算情况说明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年一般公共预算</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三公</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经费预算数为</w:t>
      </w:r>
      <w:r>
        <w:rPr>
          <w:rFonts w:hint="default" w:ascii="Times New Roman" w:hAnsi="Times New Roman" w:eastAsia="仿宋_GB2312" w:cs="Times New Roman"/>
          <w:sz w:val="32"/>
          <w:szCs w:val="32"/>
          <w:u w:val="none"/>
          <w:lang w:val="en-US" w:eastAsia="zh-CN"/>
        </w:rPr>
        <w:t>28.15</w:t>
      </w:r>
      <w:r>
        <w:rPr>
          <w:rFonts w:hint="default" w:ascii="Times New Roman" w:hAnsi="Times New Roman" w:eastAsia="仿宋_GB2312" w:cs="Times New Roman"/>
          <w:sz w:val="32"/>
          <w:szCs w:val="32"/>
          <w:u w:val="none"/>
        </w:rPr>
        <w:t>万元，其中：</w:t>
      </w:r>
    </w:p>
    <w:p>
      <w:pPr>
        <w:wordWrap/>
        <w:adjustRightInd/>
        <w:snapToGrid/>
        <w:spacing w:line="578" w:lineRule="exact"/>
        <w:ind w:right="0" w:firstLine="630"/>
        <w:textAlignment w:val="auto"/>
        <w:outlineLvl w:val="9"/>
        <w:rPr>
          <w:rFonts w:hint="default" w:ascii="Times New Roman" w:hAnsi="Times New Roman" w:eastAsia="仿宋_GB2312" w:cs="Times New Roman"/>
          <w:sz w:val="32"/>
          <w:highlight w:val="none"/>
          <w:u w:val="none"/>
          <w:shd w:val="clear" w:color="auto" w:fill="FFFFFF"/>
        </w:rPr>
      </w:pPr>
      <w:r>
        <w:rPr>
          <w:rFonts w:hint="default" w:ascii="Times New Roman" w:hAnsi="Times New Roman" w:eastAsia="仿宋_GB2312" w:cs="Times New Roman"/>
          <w:sz w:val="32"/>
          <w:u w:val="none"/>
          <w:shd w:val="clear" w:color="auto" w:fill="FFFFFF"/>
        </w:rPr>
        <w:t>因公出国（境）经费</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u w:val="none"/>
          <w:shd w:val="clear" w:color="auto" w:fill="FFFFFF"/>
        </w:rPr>
        <w:t>，与上年预算持平。</w:t>
      </w:r>
      <w:r>
        <w:rPr>
          <w:rFonts w:hint="default" w:ascii="Times New Roman" w:hAnsi="Times New Roman" w:eastAsia="仿宋_GB2312" w:cs="Times New Roman"/>
          <w:sz w:val="32"/>
          <w:shd w:val="clear" w:color="auto" w:fill="FFFFFF"/>
          <w:lang w:eastAsia="zh-CN"/>
        </w:rPr>
        <w:t>无安排的出国计划。</w:t>
      </w:r>
      <w:r>
        <w:rPr>
          <w:rFonts w:hint="default" w:ascii="Times New Roman" w:hAnsi="Times New Roman" w:eastAsia="仿宋_GB2312" w:cs="Times New Roman"/>
          <w:sz w:val="32"/>
          <w:u w:val="none"/>
          <w:shd w:val="clear" w:color="auto" w:fill="FFFFFF"/>
        </w:rPr>
        <w:t>公务用车购置及运行费</w:t>
      </w:r>
      <w:r>
        <w:rPr>
          <w:rFonts w:hint="default" w:ascii="Times New Roman" w:hAnsi="Times New Roman" w:eastAsia="仿宋_GB2312" w:cs="Times New Roman"/>
          <w:sz w:val="32"/>
          <w:szCs w:val="32"/>
          <w:u w:val="none"/>
          <w:lang w:val="en-US" w:eastAsia="zh-CN"/>
        </w:rPr>
        <w:t>27.15</w:t>
      </w:r>
      <w:r>
        <w:rPr>
          <w:rFonts w:hint="default" w:ascii="Times New Roman" w:hAnsi="Times New Roman" w:eastAsia="仿宋_GB2312" w:cs="Times New Roman"/>
          <w:sz w:val="32"/>
          <w:szCs w:val="32"/>
          <w:u w:val="none"/>
        </w:rPr>
        <w:t>万元（其中，</w:t>
      </w:r>
      <w:r>
        <w:rPr>
          <w:rFonts w:hint="default" w:ascii="Times New Roman" w:hAnsi="Times New Roman" w:eastAsia="仿宋_GB2312" w:cs="Times New Roman"/>
          <w:sz w:val="32"/>
          <w:u w:val="none"/>
          <w:shd w:val="clear" w:color="auto" w:fill="FFFFFF"/>
        </w:rPr>
        <w:t>公务用车购置费</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u w:val="none"/>
          <w:shd w:val="clear" w:color="auto" w:fill="FFFFFF"/>
        </w:rPr>
        <w:t>，公务用车运行费</w:t>
      </w:r>
      <w:r>
        <w:rPr>
          <w:rFonts w:hint="default" w:ascii="Times New Roman" w:hAnsi="Times New Roman" w:eastAsia="仿宋_GB2312" w:cs="Times New Roman"/>
          <w:sz w:val="32"/>
          <w:szCs w:val="32"/>
          <w:u w:val="none"/>
          <w:lang w:val="en-US" w:eastAsia="zh-CN"/>
        </w:rPr>
        <w:t>27.15</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highlight w:val="none"/>
          <w:u w:val="none"/>
          <w:shd w:val="clear" w:color="auto" w:fill="FFFFFF"/>
        </w:rPr>
        <w:t>，</w:t>
      </w:r>
      <w:r>
        <w:rPr>
          <w:rFonts w:hint="default" w:ascii="Times New Roman" w:hAnsi="Times New Roman" w:eastAsia="仿宋_GB2312" w:cs="Times New Roman"/>
          <w:sz w:val="32"/>
          <w:highlight w:val="none"/>
          <w:u w:val="none"/>
          <w:shd w:val="clear" w:color="auto" w:fill="FFFFFF"/>
          <w:lang w:eastAsia="zh-CN"/>
        </w:rPr>
        <w:t>与上年预算持平。</w:t>
      </w:r>
      <w:r>
        <w:rPr>
          <w:rFonts w:hint="default" w:ascii="Times New Roman" w:hAnsi="Times New Roman" w:eastAsia="仿宋_GB2312" w:cs="Times New Roman"/>
          <w:sz w:val="32"/>
          <w:highlight w:val="none"/>
          <w:u w:val="none"/>
          <w:shd w:val="clear" w:color="auto" w:fill="FFFFFF"/>
        </w:rPr>
        <w:t>公务车保有</w:t>
      </w:r>
      <w:r>
        <w:rPr>
          <w:rFonts w:hint="default" w:ascii="Times New Roman" w:hAnsi="Times New Roman" w:eastAsia="仿宋_GB2312" w:cs="Times New Roman"/>
          <w:sz w:val="32"/>
          <w:u w:val="none"/>
          <w:shd w:val="clear" w:color="auto" w:fill="FFFFFF"/>
        </w:rPr>
        <w:t>量</w:t>
      </w:r>
      <w:r>
        <w:rPr>
          <w:rFonts w:hint="default" w:ascii="Times New Roman" w:hAnsi="Times New Roman" w:eastAsia="仿宋_GB2312" w:cs="Times New Roman"/>
          <w:sz w:val="32"/>
          <w:u w:val="none"/>
          <w:shd w:val="clear" w:color="auto" w:fill="FFFFFF"/>
          <w:lang w:val="en-US" w:eastAsia="zh-CN"/>
        </w:rPr>
        <w:t>8</w:t>
      </w:r>
      <w:r>
        <w:rPr>
          <w:rFonts w:hint="default" w:ascii="Times New Roman" w:hAnsi="Times New Roman" w:eastAsia="仿宋_GB2312" w:cs="Times New Roman"/>
          <w:sz w:val="32"/>
          <w:szCs w:val="32"/>
          <w:u w:val="none"/>
        </w:rPr>
        <w:t>辆，计划购置</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w:t>
      </w:r>
      <w:r>
        <w:rPr>
          <w:rFonts w:hint="default" w:ascii="Times New Roman" w:hAnsi="Times New Roman" w:eastAsia="仿宋_GB2312" w:cs="Times New Roman"/>
          <w:sz w:val="32"/>
          <w:u w:val="none"/>
          <w:shd w:val="clear" w:color="auto" w:fill="FFFFFF"/>
        </w:rPr>
        <w:t>；</w:t>
      </w:r>
      <w:r>
        <w:rPr>
          <w:rFonts w:hint="default" w:ascii="Times New Roman" w:hAnsi="Times New Roman" w:eastAsia="仿宋_GB2312" w:cs="Times New Roman"/>
          <w:sz w:val="32"/>
          <w:szCs w:val="32"/>
          <w:u w:val="none"/>
        </w:rPr>
        <w:t>公务接待费</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u w:val="none"/>
          <w:shd w:val="clear" w:color="auto" w:fill="FFFFFF"/>
        </w:rPr>
        <w:t>万元，与上年预算持平。</w:t>
      </w:r>
      <w:r>
        <w:rPr>
          <w:rFonts w:hint="default" w:ascii="Times New Roman" w:hAnsi="Times New Roman" w:eastAsia="仿宋_GB2312" w:cs="Times New Roman"/>
          <w:sz w:val="32"/>
          <w:highlight w:val="none"/>
          <w:shd w:val="clear" w:color="auto" w:fill="FFFFFF"/>
        </w:rPr>
        <w:t>计划接待</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批</w:t>
      </w:r>
      <w:r>
        <w:rPr>
          <w:rFonts w:hint="default" w:ascii="Times New Roman" w:hAnsi="Times New Roman" w:eastAsia="仿宋_GB2312" w:cs="Times New Roman"/>
          <w:sz w:val="32"/>
          <w:szCs w:val="32"/>
          <w:highlight w:val="none"/>
          <w:lang w:val="en-US" w:eastAsia="zh-CN"/>
        </w:rPr>
        <w:t>120</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highlight w:val="none"/>
          <w:shd w:val="clear" w:color="auto" w:fill="FFFFFF"/>
        </w:rPr>
        <w:t>。</w:t>
      </w:r>
    </w:p>
    <w:p>
      <w:pPr>
        <w:numPr>
          <w:ilvl w:val="0"/>
          <w:numId w:val="11"/>
        </w:num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年政府性基金预算</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三公</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经费预算数为</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万元，其中：</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u w:val="none"/>
          <w:shd w:val="clear" w:color="auto" w:fill="FFFFFF"/>
        </w:rPr>
      </w:pPr>
      <w:r>
        <w:rPr>
          <w:rFonts w:hint="default" w:ascii="Times New Roman" w:hAnsi="Times New Roman" w:eastAsia="仿宋_GB2312" w:cs="Times New Roman"/>
          <w:sz w:val="32"/>
          <w:szCs w:val="32"/>
        </w:rPr>
        <w:t>临高县人民检察院20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年无政府性基金预算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经费预算。</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u w:val="none"/>
          <w:shd w:val="clear" w:color="auto" w:fill="FFFFFF"/>
        </w:rPr>
      </w:pPr>
      <w:r>
        <w:rPr>
          <w:rFonts w:hint="default" w:ascii="Times New Roman" w:hAnsi="Times New Roman" w:eastAsia="黑体" w:cs="Times New Roman"/>
          <w:sz w:val="32"/>
          <w:u w:val="none"/>
          <w:shd w:val="clear" w:color="auto" w:fill="FFFFFF"/>
        </w:rPr>
        <w:t>五、关于</w:t>
      </w:r>
      <w:r>
        <w:rPr>
          <w:rFonts w:hint="default" w:ascii="Times New Roman" w:hAnsi="Times New Roman" w:eastAsia="黑体" w:cs="Times New Roman"/>
          <w:sz w:val="32"/>
          <w:szCs w:val="22"/>
          <w:u w:val="none"/>
          <w:shd w:val="clear" w:color="auto" w:fill="FFFFFF"/>
          <w:lang w:eastAsia="zh-CN"/>
        </w:rPr>
        <w:t>临高县人民检察院</w:t>
      </w:r>
      <w:r>
        <w:rPr>
          <w:rFonts w:hint="default" w:ascii="Times New Roman" w:hAnsi="Times New Roman" w:eastAsia="黑体" w:cs="Times New Roman"/>
          <w:sz w:val="32"/>
          <w:szCs w:val="22"/>
          <w:u w:val="none"/>
          <w:shd w:val="clear" w:color="auto" w:fill="FFFFFF"/>
          <w:lang w:val="en-US" w:eastAsia="zh-CN"/>
        </w:rPr>
        <w:t>2024</w:t>
      </w:r>
      <w:r>
        <w:rPr>
          <w:rFonts w:hint="default" w:ascii="Times New Roman" w:hAnsi="Times New Roman" w:eastAsia="黑体" w:cs="Times New Roman"/>
          <w:sz w:val="32"/>
          <w:u w:val="none"/>
          <w:shd w:val="clear" w:color="auto" w:fill="FFFFFF"/>
        </w:rPr>
        <w:t>年政府性基金预算当年拨款情况说明</w:t>
      </w:r>
    </w:p>
    <w:p>
      <w:pPr>
        <w:wordWrap/>
        <w:adjustRightInd/>
        <w:snapToGrid/>
        <w:spacing w:line="578" w:lineRule="exact"/>
        <w:ind w:right="0" w:firstLine="640" w:firstLineChars="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临高县人民检察院20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年无政府性基金预算。</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highlight w:val="none"/>
          <w:u w:val="none"/>
          <w:shd w:val="clear" w:color="auto" w:fill="FFFFFF"/>
        </w:rPr>
      </w:pPr>
      <w:r>
        <w:rPr>
          <w:rFonts w:hint="default" w:ascii="Times New Roman" w:hAnsi="Times New Roman" w:eastAsia="黑体" w:cs="Times New Roman"/>
          <w:sz w:val="32"/>
          <w:highlight w:val="none"/>
          <w:u w:val="none"/>
          <w:shd w:val="clear" w:color="auto" w:fill="FFFFFF"/>
        </w:rPr>
        <w:t>六、关于</w:t>
      </w:r>
      <w:r>
        <w:rPr>
          <w:rFonts w:hint="default" w:ascii="Times New Roman" w:hAnsi="Times New Roman" w:eastAsia="黑体" w:cs="Times New Roman"/>
          <w:sz w:val="32"/>
          <w:szCs w:val="22"/>
          <w:highlight w:val="none"/>
          <w:u w:val="none"/>
          <w:shd w:val="clear" w:color="auto" w:fill="FFFFFF"/>
          <w:lang w:eastAsia="zh-CN"/>
        </w:rPr>
        <w:t>临高县人民检察院</w:t>
      </w:r>
      <w:r>
        <w:rPr>
          <w:rFonts w:hint="default" w:ascii="Times New Roman" w:hAnsi="Times New Roman" w:eastAsia="黑体" w:cs="Times New Roman"/>
          <w:sz w:val="32"/>
          <w:szCs w:val="22"/>
          <w:highlight w:val="none"/>
          <w:u w:val="none"/>
          <w:shd w:val="clear" w:color="auto" w:fill="FFFFFF"/>
          <w:lang w:val="en-US" w:eastAsia="zh-CN"/>
        </w:rPr>
        <w:t>2024</w:t>
      </w:r>
      <w:r>
        <w:rPr>
          <w:rFonts w:hint="default" w:ascii="Times New Roman" w:hAnsi="Times New Roman" w:eastAsia="黑体" w:cs="Times New Roman"/>
          <w:sz w:val="32"/>
          <w:highlight w:val="none"/>
          <w:u w:val="none"/>
          <w:shd w:val="clear" w:color="auto" w:fill="FFFFFF"/>
        </w:rPr>
        <w:t>年收支预算情况的总体说明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highlight w:val="none"/>
          <w:u w:val="none"/>
        </w:rPr>
        <w:t>按照综合预算原则，</w:t>
      </w:r>
      <w:r>
        <w:rPr>
          <w:rFonts w:hint="default" w:ascii="Times New Roman" w:hAnsi="Times New Roman" w:eastAsia="仿宋_GB2312" w:cs="Times New Roman"/>
          <w:sz w:val="32"/>
          <w:szCs w:val="32"/>
          <w:highlight w:val="none"/>
          <w:u w:val="none"/>
          <w:lang w:eastAsia="zh-CN"/>
        </w:rPr>
        <w:t>临高县人民检察院</w:t>
      </w:r>
      <w:r>
        <w:rPr>
          <w:rFonts w:hint="default" w:ascii="Times New Roman" w:hAnsi="Times New Roman" w:eastAsia="仿宋_GB2312" w:cs="Times New Roman"/>
          <w:sz w:val="32"/>
          <w:szCs w:val="32"/>
          <w:highlight w:val="none"/>
          <w:u w:val="none"/>
        </w:rPr>
        <w:t>所有收入</w:t>
      </w:r>
      <w:r>
        <w:rPr>
          <w:rFonts w:hint="default" w:ascii="Times New Roman" w:hAnsi="Times New Roman" w:eastAsia="仿宋_GB2312" w:cs="Times New Roman"/>
          <w:sz w:val="32"/>
          <w:szCs w:val="32"/>
          <w:u w:val="none"/>
        </w:rPr>
        <w:t>和支出均纳入部门预算管理。收入包括：一般公共预算收入；支出包括：</w:t>
      </w:r>
      <w:r>
        <w:rPr>
          <w:rFonts w:hint="default" w:ascii="Times New Roman" w:hAnsi="Times New Roman" w:eastAsia="仿宋_GB2312" w:cs="Times New Roman"/>
          <w:sz w:val="32"/>
          <w:szCs w:val="32"/>
        </w:rPr>
        <w:t>公共</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u w:val="none"/>
        </w:rPr>
        <w:t>教育支出、</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住房保障</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年收支总预</w:t>
      </w:r>
      <w:r>
        <w:rPr>
          <w:rFonts w:hint="default" w:ascii="Times New Roman" w:hAnsi="Times New Roman" w:eastAsia="仿宋_GB2312" w:cs="Times New Roman"/>
          <w:sz w:val="32"/>
          <w:szCs w:val="32"/>
          <w:highlight w:val="none"/>
          <w:u w:val="none"/>
        </w:rPr>
        <w:t>算</w:t>
      </w:r>
      <w:r>
        <w:rPr>
          <w:rFonts w:hint="default" w:ascii="Times New Roman" w:hAnsi="Times New Roman" w:eastAsia="仿宋_GB2312" w:cs="Times New Roman"/>
          <w:sz w:val="32"/>
          <w:szCs w:val="32"/>
          <w:highlight w:val="none"/>
          <w:u w:val="none"/>
          <w:lang w:val="en-US" w:eastAsia="zh-CN"/>
        </w:rPr>
        <w:t>2049.36</w:t>
      </w:r>
      <w:r>
        <w:rPr>
          <w:rFonts w:hint="default" w:ascii="Times New Roman" w:hAnsi="Times New Roman" w:eastAsia="仿宋_GB2312" w:cs="Times New Roman"/>
          <w:sz w:val="32"/>
          <w:szCs w:val="32"/>
          <w:highlight w:val="none"/>
          <w:u w:val="none"/>
        </w:rPr>
        <w:t>万元。</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u w:val="none"/>
          <w:shd w:val="clear" w:color="auto" w:fill="FFFFFF"/>
        </w:rPr>
      </w:pPr>
      <w:r>
        <w:rPr>
          <w:rFonts w:hint="default" w:ascii="Times New Roman" w:hAnsi="Times New Roman" w:eastAsia="黑体" w:cs="Times New Roman"/>
          <w:sz w:val="32"/>
          <w:u w:val="none"/>
          <w:shd w:val="clear" w:color="auto" w:fill="FFFFFF"/>
        </w:rPr>
        <w:t>七、关于</w:t>
      </w:r>
      <w:r>
        <w:rPr>
          <w:rFonts w:hint="default" w:ascii="Times New Roman" w:hAnsi="Times New Roman" w:eastAsia="黑体" w:cs="Times New Roman"/>
          <w:sz w:val="32"/>
          <w:szCs w:val="22"/>
          <w:u w:val="none"/>
          <w:shd w:val="clear" w:color="auto" w:fill="FFFFFF"/>
          <w:lang w:eastAsia="zh-CN"/>
        </w:rPr>
        <w:t>临高县人民检察院</w:t>
      </w:r>
      <w:r>
        <w:rPr>
          <w:rFonts w:hint="default" w:ascii="Times New Roman" w:hAnsi="Times New Roman" w:eastAsia="黑体" w:cs="Times New Roman"/>
          <w:sz w:val="32"/>
          <w:szCs w:val="22"/>
          <w:u w:val="none"/>
          <w:shd w:val="clear" w:color="auto" w:fill="FFFFFF"/>
          <w:lang w:val="en-US" w:eastAsia="zh-CN"/>
        </w:rPr>
        <w:t>2024</w:t>
      </w:r>
      <w:r>
        <w:rPr>
          <w:rFonts w:hint="default" w:ascii="Times New Roman" w:hAnsi="Times New Roman" w:eastAsia="黑体" w:cs="Times New Roman"/>
          <w:sz w:val="32"/>
          <w:u w:val="none"/>
          <w:shd w:val="clear" w:color="auto" w:fill="FFFFFF"/>
        </w:rPr>
        <w:t>年收入预算情况说明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年收入预算</w:t>
      </w:r>
      <w:r>
        <w:rPr>
          <w:rFonts w:hint="default" w:ascii="Times New Roman" w:hAnsi="Times New Roman" w:eastAsia="仿宋_GB2312" w:cs="Times New Roman"/>
          <w:sz w:val="32"/>
          <w:szCs w:val="32"/>
          <w:u w:val="none"/>
          <w:lang w:val="en-US" w:eastAsia="zh-CN"/>
        </w:rPr>
        <w:t>2049.36</w:t>
      </w:r>
      <w:r>
        <w:rPr>
          <w:rFonts w:hint="default" w:ascii="Times New Roman" w:hAnsi="Times New Roman" w:eastAsia="仿宋_GB2312" w:cs="Times New Roman"/>
          <w:sz w:val="32"/>
          <w:szCs w:val="32"/>
          <w:u w:val="none"/>
        </w:rPr>
        <w:t>万元，其中：上年结转</w:t>
      </w:r>
      <w:r>
        <w:rPr>
          <w:rFonts w:hint="default" w:ascii="Times New Roman" w:hAnsi="Times New Roman" w:eastAsia="仿宋_GB2312" w:cs="Times New Roman"/>
          <w:sz w:val="32"/>
          <w:szCs w:val="32"/>
          <w:u w:val="none"/>
          <w:lang w:val="en-US" w:eastAsia="zh-CN"/>
        </w:rPr>
        <w:t>29.25</w:t>
      </w:r>
      <w:r>
        <w:rPr>
          <w:rFonts w:hint="default"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1.43</w:t>
      </w:r>
      <w:r>
        <w:rPr>
          <w:rFonts w:hint="default" w:ascii="Times New Roman" w:hAnsi="Times New Roman" w:eastAsia="仿宋_GB2312" w:cs="Times New Roman"/>
          <w:sz w:val="32"/>
          <w:szCs w:val="32"/>
          <w:u w:val="none"/>
        </w:rPr>
        <w:t>%；经费拨款收入</w:t>
      </w:r>
      <w:r>
        <w:rPr>
          <w:rFonts w:hint="default" w:ascii="Times New Roman" w:hAnsi="Times New Roman" w:eastAsia="仿宋_GB2312" w:cs="Times New Roman"/>
          <w:sz w:val="32"/>
          <w:szCs w:val="32"/>
          <w:u w:val="none"/>
          <w:lang w:val="en-US" w:eastAsia="zh-CN"/>
        </w:rPr>
        <w:t>2020.11</w:t>
      </w:r>
      <w:r>
        <w:rPr>
          <w:rFonts w:hint="default"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98.57</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highlight w:val="none"/>
          <w:u w:val="none"/>
        </w:rPr>
        <w:t>政府性基金收入</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万元，占</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%；专项收入</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万元，占</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%。比上年预算数增加</w:t>
      </w:r>
      <w:r>
        <w:rPr>
          <w:rFonts w:hint="default" w:ascii="Times New Roman" w:hAnsi="Times New Roman" w:eastAsia="仿宋_GB2312" w:cs="Times New Roman"/>
          <w:sz w:val="32"/>
          <w:szCs w:val="32"/>
          <w:highlight w:val="none"/>
          <w:u w:val="none"/>
          <w:lang w:val="en-US" w:eastAsia="zh-CN"/>
        </w:rPr>
        <w:t>258.84</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u w:val="none"/>
          <w:lang w:eastAsia="zh-CN"/>
        </w:rPr>
        <w:t>，主要一是根据年度工作安排，业务装备费增加；二是职业年金记实增加；三是新招录公务员人员经费增加；四是</w:t>
      </w:r>
      <w:r>
        <w:rPr>
          <w:rFonts w:hint="default" w:ascii="Times New Roman" w:hAnsi="Times New Roman" w:eastAsia="仿宋_GB2312" w:cs="Times New Roman"/>
          <w:sz w:val="32"/>
          <w:szCs w:val="32"/>
          <w:u w:val="none"/>
          <w:lang w:val="en-US" w:eastAsia="zh-CN"/>
        </w:rPr>
        <w:t>公积金、社保缴费等人员经费增加</w:t>
      </w:r>
      <w:r>
        <w:rPr>
          <w:rFonts w:hint="default" w:ascii="Times New Roman" w:hAnsi="Times New Roman" w:eastAsia="仿宋_GB2312" w:cs="Times New Roman"/>
          <w:sz w:val="32"/>
          <w:szCs w:val="32"/>
          <w:u w:val="none"/>
          <w:lang w:eastAsia="zh-CN"/>
        </w:rPr>
        <w:t>。</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u w:val="none"/>
          <w:shd w:val="clear" w:color="auto" w:fill="FFFFFF"/>
        </w:rPr>
      </w:pPr>
      <w:r>
        <w:rPr>
          <w:rFonts w:hint="default" w:ascii="Times New Roman" w:hAnsi="Times New Roman" w:eastAsia="黑体" w:cs="Times New Roman"/>
          <w:sz w:val="32"/>
          <w:u w:val="none"/>
          <w:shd w:val="clear" w:color="auto" w:fill="FFFFFF"/>
        </w:rPr>
        <w:t>八、关于</w:t>
      </w:r>
      <w:r>
        <w:rPr>
          <w:rFonts w:hint="default" w:ascii="Times New Roman" w:hAnsi="Times New Roman" w:eastAsia="黑体" w:cs="Times New Roman"/>
          <w:sz w:val="32"/>
          <w:szCs w:val="22"/>
          <w:u w:val="none"/>
          <w:shd w:val="clear" w:color="auto" w:fill="FFFFFF"/>
          <w:lang w:eastAsia="zh-CN"/>
        </w:rPr>
        <w:t>临高县人民检察院</w:t>
      </w:r>
      <w:r>
        <w:rPr>
          <w:rFonts w:hint="default" w:ascii="Times New Roman" w:hAnsi="Times New Roman" w:eastAsia="黑体" w:cs="Times New Roman"/>
          <w:sz w:val="32"/>
          <w:szCs w:val="22"/>
          <w:u w:val="none"/>
          <w:shd w:val="clear" w:color="auto" w:fill="FFFFFF"/>
          <w:lang w:val="en-US" w:eastAsia="zh-CN"/>
        </w:rPr>
        <w:t>2024</w:t>
      </w:r>
      <w:r>
        <w:rPr>
          <w:rFonts w:hint="default" w:ascii="Times New Roman" w:hAnsi="Times New Roman" w:eastAsia="黑体" w:cs="Times New Roman"/>
          <w:sz w:val="32"/>
          <w:u w:val="none"/>
          <w:shd w:val="clear" w:color="auto" w:fill="FFFFFF"/>
        </w:rPr>
        <w:t>年支出预算情况说明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年支出预算</w:t>
      </w:r>
      <w:r>
        <w:rPr>
          <w:rFonts w:hint="default" w:ascii="Times New Roman" w:hAnsi="Times New Roman" w:eastAsia="仿宋_GB2312" w:cs="Times New Roman"/>
          <w:sz w:val="32"/>
          <w:szCs w:val="32"/>
          <w:u w:val="none"/>
          <w:lang w:val="en-US" w:eastAsia="zh-CN"/>
        </w:rPr>
        <w:t>2049.36</w:t>
      </w:r>
      <w:r>
        <w:rPr>
          <w:rFonts w:hint="default" w:ascii="Times New Roman" w:hAnsi="Times New Roman" w:eastAsia="仿宋_GB2312" w:cs="Times New Roman"/>
          <w:sz w:val="32"/>
          <w:szCs w:val="32"/>
          <w:u w:val="none"/>
        </w:rPr>
        <w:t>万元，其中：</w:t>
      </w:r>
      <w:r>
        <w:rPr>
          <w:rFonts w:hint="default" w:ascii="Times New Roman" w:hAnsi="Times New Roman" w:eastAsia="仿宋_GB2312" w:cs="Times New Roman"/>
          <w:color w:val="000000"/>
          <w:sz w:val="32"/>
          <w:szCs w:val="32"/>
          <w:u w:val="none"/>
        </w:rPr>
        <w:t>基本支出</w:t>
      </w:r>
      <w:r>
        <w:rPr>
          <w:rFonts w:hint="default" w:ascii="Times New Roman" w:hAnsi="Times New Roman" w:eastAsia="仿宋_GB2312" w:cs="Times New Roman"/>
          <w:color w:val="000000"/>
          <w:sz w:val="32"/>
          <w:szCs w:val="32"/>
          <w:u w:val="none"/>
          <w:lang w:val="en-US" w:eastAsia="zh-CN"/>
        </w:rPr>
        <w:t>1592.57</w:t>
      </w:r>
      <w:r>
        <w:rPr>
          <w:rFonts w:hint="default" w:ascii="Times New Roman" w:hAnsi="Times New Roman" w:eastAsia="仿宋_GB2312" w:cs="Times New Roman"/>
          <w:color w:val="000000"/>
          <w:sz w:val="32"/>
          <w:szCs w:val="32"/>
          <w:u w:val="none"/>
        </w:rPr>
        <w:t>万元，占</w:t>
      </w:r>
      <w:r>
        <w:rPr>
          <w:rFonts w:hint="default" w:ascii="Times New Roman" w:hAnsi="Times New Roman" w:eastAsia="仿宋_GB2312" w:cs="Times New Roman"/>
          <w:color w:val="000000"/>
          <w:sz w:val="32"/>
          <w:szCs w:val="32"/>
          <w:u w:val="none"/>
          <w:lang w:val="en-US" w:eastAsia="zh-CN"/>
        </w:rPr>
        <w:t>77.71</w:t>
      </w:r>
      <w:r>
        <w:rPr>
          <w:rFonts w:hint="default" w:ascii="Times New Roman" w:hAnsi="Times New Roman" w:eastAsia="仿宋_GB2312" w:cs="Times New Roman"/>
          <w:color w:val="000000"/>
          <w:sz w:val="32"/>
          <w:szCs w:val="32"/>
          <w:u w:val="none"/>
        </w:rPr>
        <w:t>%；项目支出</w:t>
      </w:r>
      <w:r>
        <w:rPr>
          <w:rFonts w:hint="default" w:ascii="Times New Roman" w:hAnsi="Times New Roman" w:eastAsia="仿宋_GB2312" w:cs="Times New Roman"/>
          <w:color w:val="000000"/>
          <w:sz w:val="32"/>
          <w:szCs w:val="32"/>
          <w:u w:val="none"/>
          <w:lang w:val="en-US" w:eastAsia="zh-CN"/>
        </w:rPr>
        <w:t>456.78</w:t>
      </w:r>
      <w:r>
        <w:rPr>
          <w:rFonts w:hint="default" w:ascii="Times New Roman" w:hAnsi="Times New Roman" w:eastAsia="仿宋_GB2312" w:cs="Times New Roman"/>
          <w:sz w:val="32"/>
          <w:szCs w:val="32"/>
          <w:u w:val="none"/>
        </w:rPr>
        <w:t>万元，占</w:t>
      </w:r>
      <w:r>
        <w:rPr>
          <w:rFonts w:hint="default" w:ascii="Times New Roman" w:hAnsi="Times New Roman" w:eastAsia="仿宋_GB2312" w:cs="Times New Roman"/>
          <w:sz w:val="32"/>
          <w:szCs w:val="32"/>
          <w:u w:val="none"/>
          <w:lang w:val="en-US" w:eastAsia="zh-CN"/>
        </w:rPr>
        <w:t>22.29</w:t>
      </w:r>
      <w:r>
        <w:rPr>
          <w:rFonts w:hint="default" w:ascii="Times New Roman" w:hAnsi="Times New Roman" w:eastAsia="仿宋_GB2312" w:cs="Times New Roman"/>
          <w:sz w:val="32"/>
          <w:szCs w:val="32"/>
          <w:u w:val="none"/>
        </w:rPr>
        <w:t>%。比上年预算数增加</w:t>
      </w:r>
      <w:r>
        <w:rPr>
          <w:rFonts w:hint="default" w:ascii="Times New Roman" w:hAnsi="Times New Roman" w:eastAsia="仿宋_GB2312" w:cs="Times New Roman"/>
          <w:sz w:val="32"/>
          <w:szCs w:val="32"/>
          <w:u w:val="none"/>
          <w:lang w:val="en-US" w:eastAsia="zh-CN"/>
        </w:rPr>
        <w:t>258.84</w:t>
      </w:r>
      <w:r>
        <w:rPr>
          <w:rFonts w:hint="default" w:ascii="Times New Roman" w:hAnsi="Times New Roman" w:eastAsia="仿宋_GB2312" w:cs="Times New Roman"/>
          <w:sz w:val="32"/>
          <w:szCs w:val="32"/>
          <w:u w:val="none"/>
        </w:rPr>
        <w:t>万</w:t>
      </w:r>
      <w:r>
        <w:rPr>
          <w:rFonts w:hint="default" w:ascii="Times New Roman" w:hAnsi="Times New Roman" w:eastAsia="仿宋_GB2312" w:cs="Times New Roman"/>
          <w:color w:val="000000"/>
          <w:sz w:val="32"/>
          <w:szCs w:val="32"/>
          <w:u w:val="none"/>
        </w:rPr>
        <w:t>元，主要</w:t>
      </w:r>
      <w:r>
        <w:rPr>
          <w:rFonts w:hint="default" w:ascii="Times New Roman" w:hAnsi="Times New Roman" w:eastAsia="仿宋_GB2312" w:cs="Times New Roman"/>
          <w:color w:val="000000"/>
          <w:sz w:val="32"/>
          <w:szCs w:val="32"/>
          <w:u w:val="none"/>
          <w:lang w:eastAsia="zh-CN"/>
        </w:rPr>
        <w:t>一是根据年度工作安排，业务装备费增加；二是职业年金记实增加；三是新招录公务员人员经费增加；四是</w:t>
      </w:r>
      <w:r>
        <w:rPr>
          <w:rFonts w:hint="default" w:ascii="Times New Roman" w:hAnsi="Times New Roman" w:eastAsia="仿宋_GB2312" w:cs="Times New Roman"/>
          <w:color w:val="000000"/>
          <w:sz w:val="32"/>
          <w:szCs w:val="32"/>
          <w:u w:val="none"/>
          <w:lang w:val="en-US" w:eastAsia="zh-CN"/>
        </w:rPr>
        <w:t>公积金、社保缴费等人员经费增加</w:t>
      </w:r>
      <w:r>
        <w:rPr>
          <w:rFonts w:hint="default" w:ascii="Times New Roman" w:hAnsi="Times New Roman" w:eastAsia="仿宋_GB2312" w:cs="Times New Roman"/>
          <w:color w:val="000000"/>
          <w:sz w:val="32"/>
          <w:szCs w:val="32"/>
          <w:u w:val="none"/>
        </w:rPr>
        <w:t>。</w:t>
      </w:r>
    </w:p>
    <w:p>
      <w:pPr>
        <w:wordWrap/>
        <w:adjustRightInd/>
        <w:snapToGrid/>
        <w:spacing w:line="578" w:lineRule="exact"/>
        <w:ind w:right="0" w:firstLine="640" w:firstLineChars="200"/>
        <w:textAlignment w:val="auto"/>
        <w:outlineLvl w:val="9"/>
        <w:rPr>
          <w:rFonts w:hint="default" w:ascii="Times New Roman" w:hAnsi="Times New Roman" w:eastAsia="黑体" w:cs="Times New Roman"/>
          <w:sz w:val="32"/>
          <w:u w:val="none"/>
          <w:shd w:val="clear" w:color="auto" w:fill="FFFFFF"/>
        </w:rPr>
      </w:pPr>
      <w:r>
        <w:rPr>
          <w:rFonts w:hint="default" w:ascii="Times New Roman" w:hAnsi="Times New Roman" w:eastAsia="黑体" w:cs="Times New Roman"/>
          <w:sz w:val="32"/>
          <w:u w:val="none"/>
          <w:shd w:val="clear" w:color="auto" w:fill="FFFFFF"/>
        </w:rPr>
        <w:t>九、其他重要事项的情况说明</w:t>
      </w:r>
    </w:p>
    <w:p>
      <w:pPr>
        <w:wordWrap/>
        <w:adjustRightInd/>
        <w:snapToGrid/>
        <w:spacing w:line="578" w:lineRule="exact"/>
        <w:ind w:right="0" w:firstLine="640" w:firstLineChars="200"/>
        <w:textAlignment w:val="auto"/>
        <w:outlineLvl w:val="9"/>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（一）机关运行经费</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rPr>
        <w:t>的机关运行经</w:t>
      </w:r>
      <w:r>
        <w:rPr>
          <w:rFonts w:hint="default" w:ascii="Times New Roman" w:hAnsi="Times New Roman" w:eastAsia="仿宋_GB2312" w:cs="Times New Roman"/>
          <w:sz w:val="32"/>
          <w:szCs w:val="32"/>
          <w:highlight w:val="none"/>
          <w:u w:val="none"/>
        </w:rPr>
        <w:t>费预算253.52</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万元。</w:t>
      </w:r>
    </w:p>
    <w:p>
      <w:pPr>
        <w:wordWrap/>
        <w:adjustRightInd/>
        <w:snapToGrid/>
        <w:spacing w:line="578" w:lineRule="exact"/>
        <w:ind w:right="0" w:firstLine="640" w:firstLineChars="200"/>
        <w:textAlignment w:val="auto"/>
        <w:outlineLvl w:val="9"/>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（二）政府采购情况</w:t>
      </w:r>
    </w:p>
    <w:p>
      <w:pPr>
        <w:wordWrap/>
        <w:adjustRightInd/>
        <w:snapToGrid/>
        <w:spacing w:line="578" w:lineRule="exact"/>
        <w:ind w:right="0" w:firstLine="64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rPr>
        <w:t>政府采购</w:t>
      </w:r>
      <w:r>
        <w:rPr>
          <w:rFonts w:hint="default" w:ascii="Times New Roman" w:hAnsi="Times New Roman" w:eastAsia="仿宋_GB2312" w:cs="Times New Roman"/>
          <w:sz w:val="32"/>
          <w:szCs w:val="32"/>
          <w:highlight w:val="none"/>
          <w:u w:val="none"/>
        </w:rPr>
        <w:t>预算总额</w:t>
      </w:r>
      <w:r>
        <w:rPr>
          <w:rFonts w:hint="default" w:ascii="Times New Roman" w:hAnsi="Times New Roman" w:eastAsia="仿宋_GB2312" w:cs="Times New Roman"/>
          <w:sz w:val="32"/>
          <w:szCs w:val="32"/>
          <w:highlight w:val="none"/>
          <w:u w:val="none"/>
          <w:lang w:val="en-US" w:eastAsia="zh-CN"/>
        </w:rPr>
        <w:t xml:space="preserve"> 0</w:t>
      </w:r>
      <w:r>
        <w:rPr>
          <w:rFonts w:hint="default" w:ascii="Times New Roman" w:hAnsi="Times New Roman" w:eastAsia="仿宋_GB2312" w:cs="Times New Roman"/>
          <w:sz w:val="32"/>
          <w:szCs w:val="32"/>
          <w:highlight w:val="none"/>
          <w:u w:val="none"/>
        </w:rPr>
        <w:t>万元，其中：政府采购货物预算</w:t>
      </w:r>
      <w:r>
        <w:rPr>
          <w:rFonts w:hint="default" w:ascii="Times New Roman" w:hAnsi="Times New Roman" w:eastAsia="仿宋_GB2312" w:cs="Times New Roman"/>
          <w:sz w:val="32"/>
          <w:szCs w:val="32"/>
          <w:highlight w:val="none"/>
          <w:u w:val="none"/>
          <w:lang w:val="en-US" w:eastAsia="zh-CN"/>
        </w:rPr>
        <w:t xml:space="preserve"> 0</w:t>
      </w:r>
      <w:r>
        <w:rPr>
          <w:rFonts w:hint="default" w:ascii="Times New Roman" w:hAnsi="Times New Roman" w:eastAsia="仿宋_GB2312" w:cs="Times New Roman"/>
          <w:sz w:val="32"/>
          <w:szCs w:val="32"/>
          <w:highlight w:val="none"/>
          <w:u w:val="none"/>
        </w:rPr>
        <w:t>万元，政府采购工程预算</w:t>
      </w:r>
      <w:r>
        <w:rPr>
          <w:rFonts w:hint="default" w:ascii="Times New Roman" w:hAnsi="Times New Roman" w:eastAsia="仿宋_GB2312" w:cs="Times New Roman"/>
          <w:sz w:val="32"/>
          <w:szCs w:val="32"/>
          <w:highlight w:val="none"/>
          <w:u w:val="none"/>
          <w:lang w:val="en-US" w:eastAsia="zh-CN"/>
        </w:rPr>
        <w:t xml:space="preserve"> 0</w:t>
      </w:r>
      <w:r>
        <w:rPr>
          <w:rFonts w:hint="default" w:ascii="Times New Roman" w:hAnsi="Times New Roman" w:eastAsia="仿宋_GB2312" w:cs="Times New Roman"/>
          <w:sz w:val="32"/>
          <w:szCs w:val="32"/>
          <w:highlight w:val="none"/>
          <w:u w:val="none"/>
        </w:rPr>
        <w:t>万元，政府采购服务预算</w:t>
      </w:r>
      <w:r>
        <w:rPr>
          <w:rFonts w:hint="default" w:ascii="Times New Roman" w:hAnsi="Times New Roman" w:eastAsia="仿宋_GB2312" w:cs="Times New Roman"/>
          <w:sz w:val="32"/>
          <w:szCs w:val="32"/>
          <w:highlight w:val="none"/>
          <w:u w:val="none"/>
          <w:lang w:val="en-US" w:eastAsia="zh-CN"/>
        </w:rPr>
        <w:t xml:space="preserve"> 0</w:t>
      </w:r>
      <w:r>
        <w:rPr>
          <w:rFonts w:hint="default" w:ascii="Times New Roman" w:hAnsi="Times New Roman" w:eastAsia="仿宋_GB2312" w:cs="Times New Roman"/>
          <w:sz w:val="32"/>
          <w:szCs w:val="32"/>
          <w:highlight w:val="none"/>
          <w:u w:val="none"/>
        </w:rPr>
        <w:t>万元。</w:t>
      </w:r>
    </w:p>
    <w:p>
      <w:pPr>
        <w:wordWrap/>
        <w:adjustRightInd/>
        <w:snapToGrid/>
        <w:spacing w:line="578" w:lineRule="exact"/>
        <w:ind w:right="0" w:firstLine="640" w:firstLineChars="200"/>
        <w:textAlignment w:val="auto"/>
        <w:outlineLvl w:val="9"/>
        <w:rPr>
          <w:rFonts w:hint="default" w:ascii="Times New Roman" w:hAnsi="Times New Roman" w:eastAsia="楷体" w:cs="Times New Roman"/>
          <w:sz w:val="32"/>
          <w:szCs w:val="32"/>
          <w:highlight w:val="none"/>
          <w:u w:val="none"/>
        </w:rPr>
      </w:pPr>
      <w:r>
        <w:rPr>
          <w:rFonts w:hint="default" w:ascii="Times New Roman" w:hAnsi="Times New Roman" w:eastAsia="楷体" w:cs="Times New Roman"/>
          <w:sz w:val="32"/>
          <w:szCs w:val="32"/>
          <w:highlight w:val="none"/>
          <w:u w:val="none"/>
        </w:rPr>
        <w:t>（三）国有资产占有使用情况</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截至</w:t>
      </w:r>
      <w:r>
        <w:rPr>
          <w:rFonts w:hint="default" w:ascii="Times New Roman" w:hAnsi="Times New Roman" w:eastAsia="仿宋_GB2312" w:cs="Times New Roman"/>
          <w:sz w:val="32"/>
          <w:szCs w:val="32"/>
          <w:u w:val="none"/>
          <w:lang w:val="en-US" w:eastAsia="zh-CN"/>
        </w:rPr>
        <w:t>2023</w:t>
      </w:r>
      <w:r>
        <w:rPr>
          <w:rFonts w:hint="default" w:ascii="Times New Roman" w:hAnsi="Times New Roman" w:eastAsia="仿宋_GB2312" w:cs="Times New Roman"/>
          <w:sz w:val="32"/>
          <w:szCs w:val="32"/>
          <w:u w:val="none"/>
        </w:rPr>
        <w:t>年12月31日，</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rPr>
        <w:t>本级及下属各预算单位共有车辆</w:t>
      </w:r>
      <w:r>
        <w:rPr>
          <w:rFonts w:hint="default"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rPr>
        <w:t>辆，其中，领导干部用车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辆，机要通信应急用车</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辆、一般执法执勤用车</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辆、特种专业技术用车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辆、其他用车</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辆。单位价值100万元以上设备</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台（套）。</w:t>
      </w:r>
    </w:p>
    <w:p>
      <w:pPr>
        <w:widowControl/>
        <w:wordWrap/>
        <w:adjustRightInd/>
        <w:snapToGrid/>
        <w:spacing w:line="578" w:lineRule="exact"/>
        <w:ind w:right="0" w:firstLine="640" w:firstLineChars="200"/>
        <w:jc w:val="left"/>
        <w:textAlignment w:val="auto"/>
        <w:outlineLvl w:val="9"/>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（四）</w:t>
      </w:r>
      <w:r>
        <w:rPr>
          <w:rFonts w:hint="default" w:ascii="Times New Roman" w:hAnsi="Times New Roman" w:eastAsia="楷体" w:cs="Times New Roman"/>
          <w:i w:val="0"/>
          <w:caps w:val="0"/>
          <w:spacing w:val="0"/>
          <w:kern w:val="2"/>
          <w:sz w:val="32"/>
          <w:szCs w:val="32"/>
          <w:lang w:val="en-US" w:eastAsia="zh-CN"/>
        </w:rPr>
        <w:t>绩效目标设置及重点项目绩效目标说明</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2024</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临高县人民检察院</w:t>
      </w:r>
      <w:r>
        <w:rPr>
          <w:rFonts w:hint="default" w:ascii="Times New Roman" w:hAnsi="Times New Roman" w:eastAsia="仿宋_GB2312" w:cs="Times New Roman"/>
          <w:sz w:val="32"/>
          <w:szCs w:val="32"/>
          <w:u w:val="none"/>
          <w:lang w:val="en-US" w:eastAsia="zh-CN"/>
        </w:rPr>
        <w:t>17</w:t>
      </w:r>
      <w:r>
        <w:rPr>
          <w:rFonts w:hint="default" w:ascii="Times New Roman" w:hAnsi="Times New Roman" w:eastAsia="仿宋_GB2312" w:cs="Times New Roman"/>
          <w:sz w:val="32"/>
          <w:szCs w:val="32"/>
          <w:u w:val="none"/>
        </w:rPr>
        <w:t>个项目实行绩效目标管理，涉及一般公共</w:t>
      </w:r>
      <w:r>
        <w:rPr>
          <w:rFonts w:hint="default" w:ascii="Times New Roman" w:hAnsi="Times New Roman" w:eastAsia="仿宋_GB2312" w:cs="Times New Roman"/>
          <w:sz w:val="32"/>
          <w:szCs w:val="32"/>
          <w:highlight w:val="none"/>
          <w:u w:val="none"/>
        </w:rPr>
        <w:t>预算</w:t>
      </w:r>
      <w:r>
        <w:rPr>
          <w:rFonts w:hint="default" w:ascii="Times New Roman" w:hAnsi="Times New Roman" w:eastAsia="仿宋_GB2312" w:cs="Times New Roman"/>
          <w:sz w:val="32"/>
          <w:szCs w:val="32"/>
          <w:highlight w:val="none"/>
          <w:u w:val="none"/>
          <w:lang w:val="en-US" w:eastAsia="zh-CN"/>
        </w:rPr>
        <w:t>2020.1</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u w:val="none"/>
        </w:rPr>
        <w:t>政府性基金</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其中，重点项目预算绩效情况：</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color w:val="000000"/>
          <w:sz w:val="32"/>
          <w:szCs w:val="32"/>
          <w:lang w:val="en-US" w:eastAsia="zh-CN"/>
        </w:rPr>
        <w:t>综合运行事务项目，</w:t>
      </w:r>
      <w:r>
        <w:rPr>
          <w:rFonts w:hint="default"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US" w:eastAsia="zh-CN"/>
        </w:rPr>
        <w:t>130</w:t>
      </w:r>
      <w:r>
        <w:rPr>
          <w:rFonts w:hint="default" w:ascii="Times New Roman" w:hAnsi="Times New Roman" w:eastAsia="仿宋_GB2312" w:cs="Times New Roman"/>
          <w:color w:val="000000"/>
          <w:sz w:val="32"/>
          <w:szCs w:val="32"/>
        </w:rPr>
        <w:t>万元，主要用于保障单位日常运转，绩效目标是保障单位日常运转，提高预算编制质量，严格执行预算</w:t>
      </w:r>
      <w:r>
        <w:rPr>
          <w:rFonts w:hint="default" w:ascii="Times New Roman" w:hAnsi="Times New Roman" w:eastAsia="仿宋_GB2312" w:cs="Times New Roman"/>
          <w:sz w:val="32"/>
          <w:szCs w:val="32"/>
          <w:u w:val="none"/>
          <w:lang w:eastAsia="zh-CN"/>
        </w:rPr>
        <w:t>。</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color w:val="000000"/>
          <w:sz w:val="32"/>
          <w:szCs w:val="32"/>
        </w:rPr>
        <w:t>聘用制书记员管理项目，预算安排</w:t>
      </w:r>
      <w:r>
        <w:rPr>
          <w:rFonts w:hint="default" w:ascii="Times New Roman" w:hAnsi="Times New Roman" w:eastAsia="仿宋_GB2312" w:cs="Times New Roman"/>
          <w:color w:val="000000"/>
          <w:sz w:val="32"/>
          <w:szCs w:val="32"/>
          <w:highlight w:val="none"/>
          <w:lang w:val="en-US" w:eastAsia="zh-CN"/>
        </w:rPr>
        <w:t>30.18</w:t>
      </w:r>
      <w:r>
        <w:rPr>
          <w:rFonts w:hint="default" w:ascii="Times New Roman" w:hAnsi="Times New Roman" w:eastAsia="仿宋_GB2312" w:cs="Times New Roman"/>
          <w:color w:val="000000"/>
          <w:sz w:val="32"/>
          <w:szCs w:val="32"/>
          <w:highlight w:val="none"/>
        </w:rPr>
        <w:t>万</w:t>
      </w:r>
      <w:r>
        <w:rPr>
          <w:rFonts w:hint="default" w:ascii="Times New Roman" w:hAnsi="Times New Roman" w:eastAsia="仿宋_GB2312" w:cs="Times New Roman"/>
          <w:color w:val="000000"/>
          <w:sz w:val="32"/>
          <w:szCs w:val="32"/>
        </w:rPr>
        <w:t>元，主要是用于</w:t>
      </w:r>
      <w:r>
        <w:rPr>
          <w:rFonts w:hint="default"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rPr>
        <w:t>聘用制书记员</w:t>
      </w:r>
      <w:r>
        <w:rPr>
          <w:rFonts w:hint="default" w:ascii="Times New Roman" w:hAnsi="Times New Roman" w:eastAsia="仿宋_GB2312" w:cs="Times New Roman"/>
          <w:color w:val="000000"/>
          <w:sz w:val="32"/>
          <w:szCs w:val="32"/>
          <w:lang w:eastAsia="zh-CN"/>
        </w:rPr>
        <w:t>日常运转开支</w:t>
      </w:r>
      <w:r>
        <w:rPr>
          <w:rFonts w:hint="default" w:ascii="Times New Roman" w:hAnsi="Times New Roman" w:eastAsia="仿宋_GB2312" w:cs="Times New Roman"/>
          <w:color w:val="000000"/>
          <w:sz w:val="32"/>
          <w:szCs w:val="32"/>
        </w:rPr>
        <w:t>，绩效目标是不断完善司法人员分类管理，推动聘用制书记员管理制度化、规范化。</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color w:val="000000"/>
          <w:sz w:val="32"/>
          <w:szCs w:val="32"/>
          <w:lang w:eastAsia="zh-CN"/>
        </w:rPr>
        <w:t>执法办案</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US" w:eastAsia="zh-CN"/>
        </w:rPr>
        <w:t>184</w:t>
      </w:r>
      <w:r>
        <w:rPr>
          <w:rFonts w:hint="default" w:ascii="Times New Roman" w:hAnsi="Times New Roman" w:eastAsia="仿宋_GB2312" w:cs="Times New Roman"/>
          <w:color w:val="000000"/>
          <w:sz w:val="32"/>
          <w:szCs w:val="32"/>
        </w:rPr>
        <w:t>万元，主要是用于保障检察业务开展，绩效目标是充分发挥检察职能，加强法律监督。</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sz w:val="32"/>
          <w:szCs w:val="32"/>
        </w:rPr>
      </w:pPr>
    </w:p>
    <w:p>
      <w:pPr>
        <w:wordWrap/>
        <w:adjustRightInd/>
        <w:snapToGrid/>
        <w:spacing w:line="578" w:lineRule="exact"/>
        <w:ind w:right="0"/>
        <w:jc w:val="center"/>
        <w:textAlignment w:val="auto"/>
        <w:outlineLvl w:val="9"/>
        <w:rPr>
          <w:rFonts w:hint="default" w:ascii="Times New Roman" w:hAnsi="Times New Roman" w:eastAsia="黑体" w:cs="Times New Roman"/>
          <w:b w:val="0"/>
          <w:bCs/>
          <w:sz w:val="32"/>
          <w:szCs w:val="32"/>
          <w:u w:val="none"/>
        </w:rPr>
      </w:pPr>
      <w:r>
        <w:rPr>
          <w:rFonts w:hint="default" w:ascii="Times New Roman" w:hAnsi="Times New Roman" w:eastAsia="黑体" w:cs="Times New Roman"/>
          <w:b w:val="0"/>
          <w:bCs/>
          <w:sz w:val="32"/>
          <w:szCs w:val="32"/>
          <w:u w:val="none"/>
        </w:rPr>
        <w:t>第四部分  名词解释</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bCs/>
          <w:color w:val="000000"/>
          <w:kern w:val="0"/>
          <w:sz w:val="32"/>
          <w:szCs w:val="32"/>
          <w:u w:val="none"/>
          <w:lang w:val="zh-CN"/>
        </w:rPr>
      </w:pP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一、财政拨款收入：指本级财政当年拨付的资金。</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 xml:space="preserve">四、事业收入：指用于反映事业单位开展专业业务活动及辅助活动所取得的收入。 </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五、事业单位经营收入：指用于反映事业单位在专业活动及辅助活动之外开展非独立核算经营活动取得的收入。</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六、其他收入：指除上述</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财政拨款收入</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事业收入</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经营收入</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等以外的收入。</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七、上年结转：指以前年度尚未完成、结转到本年按有关规定继续使用的资金。</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八、基本支出：指行政事业单位用于为保障其机构正常运转、完成日常工作任务而发生的人员支出和公用支出。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九、工资福利支出：反映单位开支的在职职工和编制外长期聘用人员的各类劳动报酬，以及为上述人员缴纳的各项社会保险费等。</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十二、项目支出：指各部门、各单位为完成其特定的工作任务和事业发展目标所发生的支出。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十三、</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三公</w:t>
      </w:r>
      <w:r>
        <w:rPr>
          <w:rFonts w:hint="eastAsia" w:ascii="Times New Roman" w:hAnsi="Times New Roman" w:eastAsia="仿宋_GB2312" w:cs="Times New Roman"/>
          <w:color w:val="000000"/>
          <w:kern w:val="0"/>
          <w:sz w:val="32"/>
          <w:szCs w:val="30"/>
          <w:u w:val="none"/>
          <w:lang w:eastAsia="zh-CN"/>
        </w:rPr>
        <w:t>”</w:t>
      </w:r>
      <w:r>
        <w:rPr>
          <w:rFonts w:hint="default" w:ascii="Times New Roman" w:hAnsi="Times New Roman" w:eastAsia="仿宋_GB2312" w:cs="Times New Roman"/>
          <w:color w:val="000000"/>
          <w:kern w:val="0"/>
          <w:sz w:val="32"/>
          <w:szCs w:val="30"/>
          <w:u w:val="none"/>
        </w:rPr>
        <w:t>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u w:val="none"/>
        </w:rPr>
      </w:pPr>
      <w:r>
        <w:rPr>
          <w:rFonts w:hint="default" w:ascii="Times New Roman" w:hAnsi="Times New Roman" w:eastAsia="仿宋_GB2312" w:cs="Times New Roman"/>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2"/>
          <w:szCs w:val="30"/>
          <w:lang w:eastAsia="zh-CN"/>
        </w:rPr>
        <w:t>十五、</w:t>
      </w:r>
      <w:r>
        <w:rPr>
          <w:rFonts w:hint="default" w:ascii="Times New Roman" w:hAnsi="Times New Roman" w:eastAsia="仿宋_GB2312" w:cs="Times New Roman"/>
          <w:color w:val="000000"/>
          <w:kern w:val="0"/>
          <w:sz w:val="32"/>
          <w:szCs w:val="30"/>
        </w:rPr>
        <w:t>公共安全</w:t>
      </w:r>
      <w:r>
        <w:rPr>
          <w:rFonts w:hint="default" w:ascii="Times New Roman" w:hAnsi="Times New Roman" w:eastAsia="仿宋_GB2312" w:cs="Times New Roman"/>
          <w:color w:val="000000"/>
          <w:kern w:val="0"/>
          <w:sz w:val="32"/>
          <w:szCs w:val="30"/>
          <w:lang w:eastAsia="zh-CN"/>
        </w:rPr>
        <w:t>支出</w:t>
      </w:r>
      <w:r>
        <w:rPr>
          <w:rFonts w:hint="default" w:ascii="Times New Roman" w:hAnsi="Times New Roman" w:eastAsia="仿宋_GB2312" w:cs="Times New Roman"/>
          <w:color w:val="000000"/>
          <w:kern w:val="0"/>
          <w:sz w:val="32"/>
          <w:szCs w:val="30"/>
        </w:rPr>
        <w:t>（类）检察（款）</w:t>
      </w:r>
      <w:r>
        <w:rPr>
          <w:rFonts w:hint="default" w:ascii="Times New Roman" w:hAnsi="Times New Roman" w:eastAsia="仿宋_GB2312" w:cs="Times New Roman"/>
          <w:color w:val="000000"/>
          <w:kern w:val="0"/>
          <w:sz w:val="32"/>
          <w:szCs w:val="30"/>
          <w:lang w:val="en-US" w:eastAsia="zh-CN"/>
        </w:rPr>
        <w:t>行政运行（项）</w:t>
      </w:r>
      <w:r>
        <w:rPr>
          <w:rFonts w:hint="default" w:ascii="Times New Roman" w:hAnsi="Times New Roman" w:eastAsia="仿宋_GB2312" w:cs="Times New Roman"/>
          <w:color w:val="000000"/>
          <w:kern w:val="0"/>
          <w:sz w:val="32"/>
          <w:szCs w:val="30"/>
        </w:rPr>
        <w:t>：</w:t>
      </w:r>
      <w:r>
        <w:rPr>
          <w:rFonts w:hint="default" w:ascii="Times New Roman" w:hAnsi="Times New Roman" w:eastAsia="仿宋_GB2312" w:cs="Times New Roman"/>
          <w:color w:val="000000"/>
          <w:kern w:val="0"/>
          <w:sz w:val="31"/>
          <w:szCs w:val="31"/>
          <w:lang w:val="en-US" w:eastAsia="zh-CN"/>
        </w:rPr>
        <w:t>用于保障机构正常运行、开展日常工作的基本支出。</w:t>
      </w:r>
    </w:p>
    <w:p>
      <w:pPr>
        <w:widowControl/>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2"/>
          <w:szCs w:val="30"/>
          <w:lang w:eastAsia="zh-CN"/>
        </w:rPr>
        <w:t>十六、</w:t>
      </w:r>
      <w:r>
        <w:rPr>
          <w:rFonts w:hint="default" w:ascii="Times New Roman" w:hAnsi="Times New Roman" w:eastAsia="仿宋_GB2312" w:cs="Times New Roman"/>
          <w:color w:val="000000"/>
          <w:kern w:val="0"/>
          <w:sz w:val="32"/>
          <w:szCs w:val="30"/>
        </w:rPr>
        <w:t>公共安全</w:t>
      </w:r>
      <w:r>
        <w:rPr>
          <w:rFonts w:hint="default" w:ascii="Times New Roman" w:hAnsi="Times New Roman" w:eastAsia="仿宋_GB2312" w:cs="Times New Roman"/>
          <w:color w:val="000000"/>
          <w:kern w:val="0"/>
          <w:sz w:val="32"/>
          <w:szCs w:val="30"/>
          <w:lang w:eastAsia="zh-CN"/>
        </w:rPr>
        <w:t>支出</w:t>
      </w:r>
      <w:r>
        <w:rPr>
          <w:rFonts w:hint="default" w:ascii="Times New Roman" w:hAnsi="Times New Roman" w:eastAsia="仿宋_GB2312" w:cs="Times New Roman"/>
          <w:color w:val="000000"/>
          <w:kern w:val="0"/>
          <w:sz w:val="32"/>
          <w:szCs w:val="30"/>
        </w:rPr>
        <w:t>（类）检察（款）</w:t>
      </w:r>
      <w:r>
        <w:rPr>
          <w:rFonts w:hint="default" w:ascii="Times New Roman" w:hAnsi="Times New Roman" w:eastAsia="仿宋_GB2312" w:cs="Times New Roman"/>
          <w:color w:val="000000"/>
          <w:kern w:val="0"/>
          <w:sz w:val="32"/>
          <w:szCs w:val="30"/>
          <w:lang w:val="en-US" w:eastAsia="zh-CN"/>
        </w:rPr>
        <w:t>一般行政管理事务（项）指未单独设置项级目的其他项目支出。</w:t>
      </w:r>
    </w:p>
    <w:p>
      <w:pPr>
        <w:widowControl/>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kern w:val="0"/>
          <w:sz w:val="32"/>
          <w:szCs w:val="30"/>
          <w:lang w:val="zh-CN" w:eastAsia="zh-CN"/>
        </w:rPr>
      </w:pPr>
      <w:r>
        <w:rPr>
          <w:rFonts w:hint="default" w:ascii="Times New Roman" w:hAnsi="Times New Roman" w:eastAsia="仿宋_GB2312" w:cs="Times New Roman"/>
          <w:color w:val="000000"/>
          <w:kern w:val="0"/>
          <w:sz w:val="32"/>
          <w:szCs w:val="30"/>
          <w:lang w:val="zh-CN" w:eastAsia="zh-CN"/>
        </w:rPr>
        <w:t>十七、公共安全支出（类）检察（款）检察监督（项）：指履行法律监督职能的项目支出。</w:t>
      </w:r>
    </w:p>
    <w:p>
      <w:pPr>
        <w:widowControl/>
        <w:wordWrap/>
        <w:adjustRightInd/>
        <w:snapToGrid/>
        <w:spacing w:line="578" w:lineRule="exact"/>
        <w:ind w:right="0"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0"/>
          <w:lang w:val="en-US" w:eastAsia="zh-CN"/>
        </w:rPr>
        <w:t>十八、</w:t>
      </w:r>
      <w:r>
        <w:rPr>
          <w:rFonts w:hint="default" w:ascii="Times New Roman" w:hAnsi="Times New Roman" w:eastAsia="仿宋_GB2312" w:cs="Times New Roman"/>
          <w:color w:val="000000"/>
          <w:kern w:val="0"/>
          <w:sz w:val="32"/>
          <w:szCs w:val="30"/>
          <w:lang w:val="zh-CN" w:eastAsia="zh-CN"/>
        </w:rPr>
        <w:t>公共安全支出（类）检察（款）</w:t>
      </w:r>
      <w:r>
        <w:rPr>
          <w:rFonts w:hint="default" w:ascii="Times New Roman" w:hAnsi="Times New Roman" w:eastAsia="仿宋_GB2312" w:cs="Times New Roman"/>
          <w:color w:val="000000"/>
          <w:kern w:val="0"/>
          <w:sz w:val="32"/>
          <w:szCs w:val="30"/>
          <w:lang w:val="en-US" w:eastAsia="zh-CN"/>
        </w:rPr>
        <w:t>其他检察支出（项）：</w:t>
      </w:r>
      <w:r>
        <w:rPr>
          <w:rFonts w:hint="default" w:ascii="Times New Roman" w:hAnsi="Times New Roman" w:eastAsia="仿宋_GB2312" w:cs="Times New Roman"/>
          <w:color w:val="000000"/>
          <w:kern w:val="0"/>
          <w:sz w:val="31"/>
          <w:szCs w:val="31"/>
          <w:lang w:val="en-US" w:eastAsia="zh-CN"/>
        </w:rPr>
        <w:t xml:space="preserve"> </w:t>
      </w:r>
    </w:p>
    <w:p>
      <w:pPr>
        <w:widowControl/>
        <w:wordWrap/>
        <w:adjustRightInd/>
        <w:snapToGrid/>
        <w:spacing w:line="578" w:lineRule="exact"/>
        <w:ind w:right="0"/>
        <w:jc w:val="left"/>
        <w:textAlignment w:val="auto"/>
        <w:outlineLvl w:val="9"/>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1"/>
          <w:szCs w:val="31"/>
          <w:lang w:val="en-US" w:eastAsia="zh-CN"/>
        </w:rPr>
        <w:t>指除上述项目以外的开展其他检察事务方面专门性工作任务的项目支出。</w:t>
      </w:r>
    </w:p>
    <w:p>
      <w:pPr>
        <w:widowControl/>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1"/>
          <w:szCs w:val="31"/>
          <w:lang w:val="en-US" w:eastAsia="zh-CN"/>
        </w:rPr>
      </w:pPr>
      <w:r>
        <w:rPr>
          <w:rFonts w:hint="default" w:ascii="Times New Roman" w:hAnsi="Times New Roman" w:eastAsia="仿宋_GB2312" w:cs="Times New Roman"/>
          <w:color w:val="000000"/>
          <w:kern w:val="0"/>
          <w:sz w:val="32"/>
          <w:szCs w:val="30"/>
          <w:lang w:val="zh-CN" w:eastAsia="zh-CN"/>
        </w:rPr>
        <w:t>十九、教育支出（类）进修及培训（款）</w:t>
      </w:r>
      <w:r>
        <w:rPr>
          <w:rFonts w:hint="default" w:ascii="Times New Roman" w:hAnsi="Times New Roman" w:eastAsia="仿宋_GB2312" w:cs="Times New Roman"/>
          <w:color w:val="000000"/>
          <w:kern w:val="0"/>
          <w:sz w:val="32"/>
          <w:szCs w:val="30"/>
          <w:lang w:val="en-US" w:eastAsia="zh-CN"/>
        </w:rPr>
        <w:t>培训支出（项）用于教育培训的支出。</w:t>
      </w:r>
    </w:p>
    <w:p>
      <w:pPr>
        <w:widowControl/>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kern w:val="0"/>
          <w:sz w:val="32"/>
          <w:szCs w:val="30"/>
          <w:lang w:val="zh-CN"/>
        </w:rPr>
      </w:pPr>
      <w:r>
        <w:rPr>
          <w:rFonts w:hint="default" w:ascii="Times New Roman" w:hAnsi="Times New Roman" w:eastAsia="仿宋_GB2312" w:cs="Times New Roman"/>
          <w:color w:val="000000"/>
          <w:kern w:val="0"/>
          <w:sz w:val="32"/>
          <w:szCs w:val="30"/>
          <w:lang w:val="zh-CN"/>
        </w:rPr>
        <w:t>二十、社会保障和就业支出（类）</w:t>
      </w:r>
      <w:r>
        <w:rPr>
          <w:rFonts w:hint="default" w:ascii="Times New Roman" w:hAnsi="Times New Roman" w:eastAsia="仿宋" w:cs="Times New Roman"/>
          <w:sz w:val="32"/>
          <w:szCs w:val="32"/>
        </w:rPr>
        <w:t>行政事业单位</w:t>
      </w:r>
      <w:r>
        <w:rPr>
          <w:rFonts w:hint="default" w:ascii="Times New Roman" w:hAnsi="Times New Roman" w:eastAsia="仿宋" w:cs="Times New Roman"/>
          <w:sz w:val="32"/>
          <w:szCs w:val="32"/>
          <w:lang w:eastAsia="zh-CN"/>
        </w:rPr>
        <w:t>养老支出</w:t>
      </w:r>
      <w:r>
        <w:rPr>
          <w:rFonts w:hint="default" w:ascii="Times New Roman" w:hAnsi="Times New Roman" w:eastAsia="仿宋_GB2312" w:cs="Times New Roman"/>
          <w:color w:val="000000"/>
          <w:kern w:val="0"/>
          <w:sz w:val="32"/>
          <w:szCs w:val="30"/>
          <w:lang w:val="zh-CN"/>
        </w:rPr>
        <w:t>（款）机关事业单位基本养老保险缴费支出（项）：指实施养老保险制度由单位实际缴纳的基本养老保险费支出。</w:t>
      </w:r>
    </w:p>
    <w:p>
      <w:pPr>
        <w:widowControl/>
        <w:wordWrap/>
        <w:adjustRightInd/>
        <w:snapToGrid/>
        <w:spacing w:line="578" w:lineRule="exact"/>
        <w:ind w:right="0" w:firstLine="640" w:firstLineChars="200"/>
        <w:textAlignment w:val="auto"/>
        <w:outlineLvl w:val="9"/>
        <w:rPr>
          <w:rFonts w:hint="default" w:ascii="Times New Roman" w:hAnsi="Times New Roman" w:eastAsia="仿宋_GB2312" w:cs="Times New Roman"/>
          <w:color w:val="000000"/>
          <w:kern w:val="0"/>
          <w:sz w:val="32"/>
          <w:szCs w:val="30"/>
          <w:lang w:val="zh-CN"/>
        </w:rPr>
      </w:pPr>
      <w:r>
        <w:rPr>
          <w:rFonts w:hint="default" w:ascii="Times New Roman" w:hAnsi="Times New Roman" w:eastAsia="仿宋_GB2312" w:cs="Times New Roman"/>
          <w:color w:val="000000"/>
          <w:kern w:val="0"/>
          <w:sz w:val="32"/>
          <w:szCs w:val="30"/>
          <w:lang w:val="zh-CN"/>
        </w:rPr>
        <w:t>二十一、社会保障和就业支出（类）</w:t>
      </w:r>
      <w:r>
        <w:rPr>
          <w:rFonts w:hint="default" w:ascii="Times New Roman" w:hAnsi="Times New Roman" w:eastAsia="仿宋" w:cs="Times New Roman"/>
          <w:sz w:val="32"/>
          <w:szCs w:val="32"/>
        </w:rPr>
        <w:t>行政事业单位</w:t>
      </w:r>
      <w:r>
        <w:rPr>
          <w:rFonts w:hint="default" w:ascii="Times New Roman" w:hAnsi="Times New Roman" w:eastAsia="仿宋" w:cs="Times New Roman"/>
          <w:sz w:val="32"/>
          <w:szCs w:val="32"/>
          <w:lang w:eastAsia="zh-CN"/>
        </w:rPr>
        <w:t>养老支出</w:t>
      </w:r>
      <w:r>
        <w:rPr>
          <w:rFonts w:hint="default" w:ascii="Times New Roman" w:hAnsi="Times New Roman" w:eastAsia="仿宋_GB2312" w:cs="Times New Roman"/>
          <w:color w:val="000000"/>
          <w:kern w:val="0"/>
          <w:sz w:val="32"/>
          <w:szCs w:val="30"/>
          <w:lang w:val="zh-CN"/>
        </w:rPr>
        <w:t>（款）机关事业单位职业年金缴费支出（项）：指实施养老保险制度由单位实际缴纳的职业年金支出。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lang w:val="zh-CN"/>
        </w:rPr>
      </w:pPr>
      <w:r>
        <w:rPr>
          <w:rFonts w:hint="default" w:ascii="Times New Roman" w:hAnsi="Times New Roman" w:eastAsia="仿宋_GB2312" w:cs="Times New Roman"/>
          <w:color w:val="000000"/>
          <w:kern w:val="0"/>
          <w:sz w:val="32"/>
          <w:szCs w:val="30"/>
          <w:lang w:val="zh-CN"/>
        </w:rPr>
        <w:t>二十二、社会保障和就业支出（类）抚恤（款）其他优抚支出（项）：指用于优抚对象抚恤</w:t>
      </w:r>
      <w:r>
        <w:rPr>
          <w:rFonts w:hint="default" w:ascii="Times New Roman" w:hAnsi="Times New Roman" w:eastAsia="仿宋_GB2312" w:cs="Times New Roman"/>
          <w:color w:val="000000"/>
          <w:kern w:val="0"/>
          <w:sz w:val="32"/>
          <w:szCs w:val="30"/>
          <w:lang w:val="zh-CN" w:eastAsia="zh-CN"/>
        </w:rPr>
        <w:t>金</w:t>
      </w:r>
      <w:r>
        <w:rPr>
          <w:rFonts w:hint="default" w:ascii="Times New Roman" w:hAnsi="Times New Roman" w:eastAsia="仿宋_GB2312" w:cs="Times New Roman"/>
          <w:color w:val="000000"/>
          <w:kern w:val="0"/>
          <w:sz w:val="32"/>
          <w:szCs w:val="30"/>
          <w:lang w:val="zh-CN"/>
        </w:rPr>
        <w:t>的支出。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lang w:val="zh-CN"/>
        </w:rPr>
      </w:pPr>
      <w:r>
        <w:rPr>
          <w:rFonts w:hint="default" w:ascii="Times New Roman" w:hAnsi="Times New Roman" w:eastAsia="仿宋_GB2312" w:cs="Times New Roman"/>
          <w:color w:val="000000"/>
          <w:kern w:val="0"/>
          <w:sz w:val="32"/>
          <w:szCs w:val="30"/>
          <w:lang w:val="zh-CN"/>
        </w:rPr>
        <w:t>二十三、卫生健康支出（类）行政事业单位医疗（款）行政单位医疗（项）：指用于行政单位医疗缴费支出。</w:t>
      </w:r>
    </w:p>
    <w:p>
      <w:pPr>
        <w:wordWrap/>
        <w:adjustRightInd/>
        <w:snapToGrid/>
        <w:spacing w:line="578"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0"/>
          <w:lang w:val="zh-CN"/>
        </w:rPr>
      </w:pPr>
      <w:r>
        <w:rPr>
          <w:rFonts w:hint="default" w:ascii="Times New Roman" w:hAnsi="Times New Roman" w:eastAsia="仿宋_GB2312" w:cs="Times New Roman"/>
          <w:color w:val="000000"/>
          <w:kern w:val="0"/>
          <w:sz w:val="32"/>
          <w:szCs w:val="30"/>
          <w:lang w:val="zh-CN"/>
        </w:rPr>
        <w:t>二十四、卫生健康支出（类）行政事业单位医疗（款）公务员医疗补助（项）：指用于公务员医疗补助支出。</w:t>
      </w:r>
    </w:p>
    <w:p>
      <w:pPr>
        <w:wordWrap/>
        <w:adjustRightInd/>
        <w:snapToGrid/>
        <w:spacing w:line="578" w:lineRule="exact"/>
        <w:ind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kern w:val="0"/>
          <w:sz w:val="32"/>
          <w:szCs w:val="30"/>
          <w:lang w:val="zh-CN"/>
        </w:rPr>
        <w:t>二十五、住房保障支出（类）住房改革支出（款）住房公积金（项）：指用于在职职工住房公积金缴费支出。</w:t>
      </w:r>
    </w:p>
    <w:p>
      <w:pPr>
        <w:ind w:firstLine="640" w:firstLineChars="200"/>
        <w:jc w:val="left"/>
        <w:rPr>
          <w:rFonts w:ascii="仿宋_GB2312" w:hAnsi="黑体" w:eastAsia="仿宋_GB2312" w:cs="仿宋_GB2312"/>
          <w:sz w:val="32"/>
          <w:szCs w:val="32"/>
          <w:u w:val="none"/>
        </w:rPr>
      </w:pPr>
    </w:p>
    <w:p>
      <w:pPr>
        <w:ind w:firstLine="640" w:firstLineChars="200"/>
        <w:jc w:val="left"/>
        <w:rPr>
          <w:rFonts w:hint="eastAsia" w:ascii="仿宋_GB2312" w:hAnsi="宋体" w:eastAsia="仿宋_GB2312" w:cs="宋体"/>
          <w:color w:val="000000"/>
          <w:kern w:val="0"/>
          <w:sz w:val="32"/>
          <w:szCs w:val="30"/>
          <w:u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ebdings">
    <w:panose1 w:val="05030102010509060703"/>
    <w:charset w:val="02"/>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76304558">
    <w:nsid w:val="7BC1E4AE"/>
    <w:multiLevelType w:val="singleLevel"/>
    <w:tmpl w:val="7BC1E4AE"/>
    <w:lvl w:ilvl="0" w:tentative="1">
      <w:start w:val="8"/>
      <w:numFmt w:val="chineseCounting"/>
      <w:suff w:val="nothing"/>
      <w:lvlText w:val="%1、"/>
      <w:lvlJc w:val="left"/>
      <w:pPr>
        <w:ind w:left="640" w:leftChars="0" w:firstLine="0" w:firstLineChars="0"/>
      </w:pPr>
      <w:rPr>
        <w:rFonts w:hint="eastAsia"/>
      </w:r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4477389">
    <w:nsid w:val="12BE8B4D"/>
    <w:multiLevelType w:val="singleLevel"/>
    <w:tmpl w:val="12BE8B4D"/>
    <w:lvl w:ilvl="0" w:tentative="1">
      <w:start w:val="2"/>
      <w:numFmt w:val="chineseCounting"/>
      <w:suff w:val="nothing"/>
      <w:lvlText w:val="（%1）"/>
      <w:lvlJc w:val="left"/>
      <w:rPr>
        <w:rFonts w:hint="eastAsia"/>
      </w:rPr>
    </w:lvl>
  </w:abstractNum>
  <w:abstractNum w:abstractNumId="3048047160">
    <w:nsid w:val="B5AD8238"/>
    <w:multiLevelType w:val="singleLevel"/>
    <w:tmpl w:val="B5AD8238"/>
    <w:lvl w:ilvl="0" w:tentative="1">
      <w:start w:val="1"/>
      <w:numFmt w:val="chineseCounting"/>
      <w:suff w:val="nothing"/>
      <w:lvlText w:val="%1、"/>
      <w:lvlJc w:val="left"/>
      <w:rPr>
        <w:rFonts w:hint="eastAsia"/>
      </w:rPr>
    </w:lvl>
  </w:abstractNum>
  <w:abstractNum w:abstractNumId="4121584981">
    <w:nsid w:val="F5AA6555"/>
    <w:multiLevelType w:val="singleLevel"/>
    <w:tmpl w:val="F5AA6555"/>
    <w:lvl w:ilvl="0" w:tentative="1">
      <w:start w:val="2"/>
      <w:numFmt w:val="chineseCounting"/>
      <w:suff w:val="nothing"/>
      <w:lvlText w:val="%1、"/>
      <w:lvlJc w:val="left"/>
      <w:rPr>
        <w:rFonts w:hint="eastAsia"/>
      </w:rPr>
    </w:lvl>
  </w:abstractNum>
  <w:abstractNum w:abstractNumId="3178894144">
    <w:nsid w:val="BD7A1340"/>
    <w:multiLevelType w:val="singleLevel"/>
    <w:tmpl w:val="BD7A1340"/>
    <w:lvl w:ilvl="0" w:tentative="1">
      <w:start w:val="3"/>
      <w:numFmt w:val="chineseCounting"/>
      <w:suff w:val="nothing"/>
      <w:lvlText w:val="%1、"/>
      <w:lvlJc w:val="left"/>
      <w:rPr>
        <w:rFonts w:hint="eastAsia"/>
      </w:rPr>
    </w:lvl>
  </w:abstractNum>
  <w:abstractNum w:abstractNumId="3054713935">
    <w:nsid w:val="B6133C4F"/>
    <w:multiLevelType w:val="singleLevel"/>
    <w:tmpl w:val="B6133C4F"/>
    <w:lvl w:ilvl="0" w:tentative="1">
      <w:start w:val="4"/>
      <w:numFmt w:val="chineseCounting"/>
      <w:suff w:val="nothing"/>
      <w:lvlText w:val="%1、"/>
      <w:lvlJc w:val="left"/>
      <w:rPr>
        <w:rFonts w:hint="eastAsia"/>
      </w:r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4586829">
    <w:nsid w:val="10F6734D"/>
    <w:multiLevelType w:val="multilevel"/>
    <w:tmpl w:val="10F6734D"/>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92482439"/>
  </w:num>
  <w:num w:numId="2">
    <w:abstractNumId w:val="1285186183"/>
  </w:num>
  <w:num w:numId="3">
    <w:abstractNumId w:val="1516312359"/>
  </w:num>
  <w:num w:numId="4">
    <w:abstractNumId w:val="1893038598"/>
  </w:num>
  <w:num w:numId="5">
    <w:abstractNumId w:val="284586829"/>
  </w:num>
  <w:num w:numId="6">
    <w:abstractNumId w:val="3048047160"/>
  </w:num>
  <w:num w:numId="7">
    <w:abstractNumId w:val="4121584981"/>
  </w:num>
  <w:num w:numId="8">
    <w:abstractNumId w:val="3178894144"/>
  </w:num>
  <w:num w:numId="9">
    <w:abstractNumId w:val="3054713935"/>
  </w:num>
  <w:num w:numId="10">
    <w:abstractNumId w:val="2076304558"/>
  </w:num>
  <w:num w:numId="11">
    <w:abstractNumId w:val="3144773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qFormat/>
    <w:uiPriority w:val="0"/>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2024-02-06T03:16:00Z</dcterms:created>
  <dc:creator>Administrator</dc:creator>
  <cp:lastModifiedBy>w</cp:lastModifiedBy>
  <cp:lastPrinted>2024-02-06T06:44:00Z</cp:lastPrinted>
  <dcterms:modified xsi:type="dcterms:W3CDTF">2024-02-06T06:04:02Z</dcterms:modified>
  <dc:title>2024年临高县人民检察院预算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