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jc w:val="center"/>
        <w:rPr>
          <w:sz w:val="72"/>
          <w:szCs w:val="72"/>
        </w:rPr>
      </w:pPr>
      <w:r>
        <w:rPr>
          <w:rFonts w:hint="eastAsia"/>
          <w:sz w:val="72"/>
          <w:szCs w:val="72"/>
          <w:lang w:val="en-US" w:eastAsia="zh-CN"/>
        </w:rPr>
        <w:t>2022</w:t>
      </w:r>
      <w:r>
        <w:rPr>
          <w:rFonts w:hint="eastAsia"/>
          <w:sz w:val="72"/>
          <w:szCs w:val="72"/>
        </w:rPr>
        <w:t>年</w:t>
      </w:r>
      <w:r>
        <w:rPr>
          <w:rFonts w:hint="eastAsia"/>
          <w:sz w:val="72"/>
          <w:szCs w:val="72"/>
          <w:lang w:eastAsia="zh-CN"/>
        </w:rPr>
        <w:t>屯昌县人民检察院</w:t>
      </w:r>
      <w:r>
        <w:rPr>
          <w:rFonts w:hint="eastAsia"/>
          <w:sz w:val="72"/>
          <w:szCs w:val="7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屯昌县人民检察院</w:t>
      </w:r>
      <w:r>
        <w:rPr>
          <w:rFonts w:hint="eastAsia" w:ascii="黑体" w:hAnsi="黑体" w:eastAsia="黑体"/>
          <w:sz w:val="32"/>
          <w:szCs w:val="32"/>
        </w:rPr>
        <w:t>概况</w:t>
      </w:r>
    </w:p>
    <w:p>
      <w:pPr>
        <w:pStyle w:val="7"/>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主要职能</w:t>
      </w:r>
    </w:p>
    <w:p>
      <w:pPr>
        <w:pStyle w:val="7"/>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部门预算单位构成</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年部门预算表</w:t>
      </w:r>
    </w:p>
    <w:p>
      <w:pPr>
        <w:pStyle w:val="7"/>
        <w:numPr>
          <w:ilvl w:val="0"/>
          <w:numId w:val="0"/>
        </w:numPr>
        <w:ind w:left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财政拨款收支总表</w:t>
      </w:r>
    </w:p>
    <w:p>
      <w:pPr>
        <w:pStyle w:val="7"/>
        <w:numPr>
          <w:ilvl w:val="0"/>
          <w:numId w:val="0"/>
        </w:numPr>
        <w:ind w:left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政府性基金预算“三公”经费支出表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年部门预算情况说明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keepNext w:val="0"/>
        <w:keepLines w:val="0"/>
        <w:pageBreakBefore w:val="0"/>
        <w:widowControl w:val="0"/>
        <w:numPr>
          <w:ilvl w:val="0"/>
          <w:numId w:val="3"/>
        </w:numPr>
        <w:kinsoku/>
        <w:wordWrap/>
        <w:overflowPunct/>
        <w:topLinePunct w:val="0"/>
        <w:autoSpaceDE/>
        <w:autoSpaceDN/>
        <w:bidi w:val="0"/>
        <w:adjustRightInd/>
        <w:snapToGrid/>
        <w:ind w:left="0" w:firstLine="0" w:firstLineChars="0"/>
        <w:jc w:val="center"/>
        <w:textAlignment w:val="auto"/>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屯昌县人民检察院</w:t>
      </w:r>
      <w:r>
        <w:rPr>
          <w:rFonts w:hint="eastAsia" w:ascii="黑体" w:hAnsi="黑体" w:eastAsia="黑体"/>
          <w:sz w:val="32"/>
          <w:szCs w:val="32"/>
        </w:rPr>
        <w:t>概况</w:t>
      </w:r>
    </w:p>
    <w:p>
      <w:pPr>
        <w:pStyle w:val="7"/>
        <w:numPr>
          <w:ilvl w:val="0"/>
          <w:numId w:val="0"/>
        </w:numPr>
        <w:ind w:leftChars="0"/>
        <w:jc w:val="left"/>
        <w:rPr>
          <w:rFonts w:hint="eastAsia" w:ascii="黑体" w:hAnsi="黑体" w:eastAsia="黑体" w:cs="仿宋_GB2312"/>
          <w:sz w:val="32"/>
          <w:szCs w:val="32"/>
          <w:lang w:val="en-US" w:eastAsia="zh-CN"/>
        </w:rPr>
      </w:pPr>
    </w:p>
    <w:p>
      <w:pPr>
        <w:pStyle w:val="7"/>
        <w:numPr>
          <w:ilvl w:val="0"/>
          <w:numId w:val="4"/>
        </w:numPr>
        <w:ind w:leftChars="0"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7"/>
        <w:numPr>
          <w:ilvl w:val="0"/>
          <w:numId w:val="0"/>
        </w:numPr>
        <w:ind w:firstLine="640" w:firstLineChars="200"/>
        <w:jc w:val="left"/>
        <w:rPr>
          <w:rFonts w:hint="eastAsia" w:ascii="黑体" w:hAnsi="黑体" w:eastAsia="黑体" w:cs="仿宋_GB2312"/>
          <w:sz w:val="32"/>
          <w:szCs w:val="32"/>
        </w:rPr>
      </w:pPr>
      <w:r>
        <w:rPr>
          <w:rFonts w:hint="eastAsia" w:ascii="仿宋_GB2312" w:hAnsi="黑体" w:eastAsia="仿宋_GB2312" w:cs="仿宋_GB2312"/>
          <w:kern w:val="2"/>
          <w:sz w:val="32"/>
          <w:szCs w:val="32"/>
          <w:lang w:val="en-US" w:eastAsia="zh-CN" w:bidi="ar-SA"/>
        </w:rPr>
        <w:t>屯昌县人民检察院是基层检察机关，在县委和上级检察机关的领导下依法履行职责，对屯昌县人民代表大会及其常务委员会负责并报告工作。</w:t>
      </w:r>
    </w:p>
    <w:p>
      <w:pPr>
        <w:spacing w:line="578" w:lineRule="exact"/>
        <w:ind w:firstLine="640" w:firstLineChars="200"/>
        <w:rPr>
          <w:rFonts w:ascii="仿宋_GB2312" w:eastAsia="仿宋_GB2312"/>
          <w:sz w:val="32"/>
          <w:szCs w:val="32"/>
        </w:rPr>
      </w:pPr>
      <w:r>
        <w:rPr>
          <w:rFonts w:hint="eastAsia" w:ascii="仿宋_GB2312" w:eastAsia="仿宋_GB2312"/>
          <w:sz w:val="32"/>
          <w:szCs w:val="32"/>
        </w:rPr>
        <w:t>（一）深入贯彻习近平新时代中国特色社会主义思想，深入贯彻党的路线方针政策和决策部署，统一本院检察干警思想和行动，坚持党对检察工作的绝对领导，坚决维护习近平总书记的核心地位，坚决维护党中央权威和集中统一领导。</w:t>
      </w:r>
    </w:p>
    <w:p>
      <w:pPr>
        <w:spacing w:line="578" w:lineRule="exact"/>
        <w:ind w:firstLine="640"/>
        <w:rPr>
          <w:rFonts w:ascii="仿宋_GB2312" w:eastAsia="仿宋_GB2312"/>
          <w:sz w:val="32"/>
          <w:szCs w:val="32"/>
        </w:rPr>
      </w:pPr>
      <w:r>
        <w:rPr>
          <w:rFonts w:hint="eastAsia" w:ascii="仿宋_GB2312" w:eastAsia="仿宋_GB2312"/>
          <w:sz w:val="32"/>
          <w:szCs w:val="32"/>
        </w:rPr>
        <w:t>（二）依法向</w:t>
      </w:r>
      <w:r>
        <w:rPr>
          <w:rFonts w:hint="eastAsia" w:ascii="仿宋_GB2312" w:hAnsi="仿宋_GB2312" w:eastAsia="仿宋_GB2312" w:cs="仿宋_GB2312"/>
          <w:sz w:val="32"/>
          <w:szCs w:val="32"/>
        </w:rPr>
        <w:t>屯昌县</w:t>
      </w:r>
      <w:r>
        <w:rPr>
          <w:rFonts w:hint="eastAsia" w:ascii="仿宋_GB2312" w:eastAsia="仿宋_GB2312"/>
          <w:sz w:val="32"/>
          <w:szCs w:val="32"/>
        </w:rPr>
        <w:t>人民代表大会及其常务委员会提出议案。</w:t>
      </w:r>
    </w:p>
    <w:p>
      <w:pPr>
        <w:spacing w:line="578" w:lineRule="exact"/>
        <w:ind w:firstLine="640"/>
        <w:rPr>
          <w:rFonts w:hint="eastAsia" w:ascii="仿宋_GB2312" w:eastAsia="仿宋_GB2312"/>
          <w:sz w:val="32"/>
          <w:szCs w:val="32"/>
        </w:rPr>
      </w:pPr>
      <w:r>
        <w:rPr>
          <w:rFonts w:hint="eastAsia" w:ascii="仿宋_GB2312" w:eastAsia="仿宋_GB2312"/>
          <w:sz w:val="32"/>
          <w:szCs w:val="32"/>
        </w:rPr>
        <w:t>（三）落实上级检察机关研究制定的检察工作方针、总体规划，结合本县党委中心工作，制定本院检察工作计划，落实检察工作任务。</w:t>
      </w:r>
    </w:p>
    <w:p>
      <w:pPr>
        <w:spacing w:line="578" w:lineRule="exact"/>
        <w:ind w:firstLine="640"/>
        <w:rPr>
          <w:rFonts w:ascii="仿宋_GB2312" w:eastAsia="仿宋_GB2312"/>
          <w:sz w:val="32"/>
          <w:szCs w:val="32"/>
        </w:rPr>
      </w:pPr>
      <w:r>
        <w:rPr>
          <w:rFonts w:hint="eastAsia" w:ascii="仿宋_GB2312" w:eastAsia="仿宋_GB2312"/>
          <w:sz w:val="32"/>
          <w:szCs w:val="32"/>
        </w:rPr>
        <w:t>（四）依照法律规定对由本院直接受理的刑事案件和上级检察机关交办的案件行使侦查权。</w:t>
      </w:r>
    </w:p>
    <w:p>
      <w:pPr>
        <w:spacing w:line="578" w:lineRule="exact"/>
        <w:ind w:firstLine="640"/>
        <w:rPr>
          <w:rFonts w:hint="eastAsia" w:ascii="仿宋_GB2312" w:eastAsia="仿宋_GB2312"/>
          <w:sz w:val="32"/>
          <w:szCs w:val="32"/>
        </w:rPr>
      </w:pPr>
      <w:r>
        <w:rPr>
          <w:rFonts w:hint="eastAsia" w:ascii="仿宋_GB2312" w:eastAsia="仿宋_GB2312"/>
          <w:sz w:val="32"/>
          <w:szCs w:val="32"/>
        </w:rPr>
        <w:t>（五）负责对由本院直接办理或上级检察机关交办的刑事案件依法审查批准逮捕、决定逮捕、提起公诉。</w:t>
      </w:r>
    </w:p>
    <w:p>
      <w:pPr>
        <w:spacing w:line="578" w:lineRule="exact"/>
        <w:ind w:firstLine="640"/>
        <w:rPr>
          <w:rFonts w:ascii="仿宋_GB2312" w:eastAsia="仿宋_GB2312"/>
          <w:sz w:val="32"/>
          <w:szCs w:val="32"/>
        </w:rPr>
      </w:pPr>
      <w:r>
        <w:rPr>
          <w:rFonts w:hint="eastAsia" w:ascii="仿宋_GB2312" w:eastAsia="仿宋_GB2312"/>
          <w:sz w:val="32"/>
          <w:szCs w:val="32"/>
        </w:rPr>
        <w:t>（六）依法对辖区内刑事、民事、行政诉讼活动及刑事、民事、行政判决和裁定等生效法律文书执行的法律监督工作。</w:t>
      </w:r>
    </w:p>
    <w:p>
      <w:pPr>
        <w:spacing w:line="578" w:lineRule="exact"/>
        <w:ind w:firstLine="640"/>
        <w:rPr>
          <w:rFonts w:ascii="仿宋_GB2312" w:eastAsia="仿宋_GB2312"/>
          <w:sz w:val="32"/>
          <w:szCs w:val="32"/>
        </w:rPr>
      </w:pPr>
      <w:r>
        <w:rPr>
          <w:rFonts w:hint="eastAsia" w:ascii="仿宋_GB2312" w:eastAsia="仿宋_GB2312"/>
          <w:sz w:val="32"/>
          <w:szCs w:val="32"/>
        </w:rPr>
        <w:t>（七）依法对辖区内人民法院确有错误的判决和裁定提起抗诉或提请抗诉。</w:t>
      </w:r>
    </w:p>
    <w:p>
      <w:pPr>
        <w:spacing w:line="578" w:lineRule="exact"/>
        <w:ind w:firstLine="640"/>
        <w:rPr>
          <w:rFonts w:ascii="仿宋_GB2312" w:eastAsia="仿宋_GB2312"/>
          <w:sz w:val="32"/>
          <w:szCs w:val="32"/>
        </w:rPr>
      </w:pPr>
      <w:r>
        <w:rPr>
          <w:rFonts w:hint="eastAsia" w:ascii="仿宋_GB2312" w:eastAsia="仿宋_GB2312"/>
          <w:sz w:val="32"/>
          <w:szCs w:val="32"/>
        </w:rPr>
        <w:t>（八）负责</w:t>
      </w:r>
      <w:r>
        <w:rPr>
          <w:rFonts w:ascii="仿宋_GB2312" w:eastAsia="仿宋_GB2312"/>
          <w:sz w:val="32"/>
          <w:szCs w:val="32"/>
        </w:rPr>
        <w:t>应由</w:t>
      </w:r>
      <w:r>
        <w:rPr>
          <w:rFonts w:hint="eastAsia" w:ascii="仿宋_GB2312" w:eastAsia="仿宋_GB2312"/>
          <w:sz w:val="32"/>
          <w:szCs w:val="32"/>
        </w:rPr>
        <w:t>本院</w:t>
      </w:r>
      <w:r>
        <w:rPr>
          <w:rFonts w:ascii="仿宋_GB2312" w:eastAsia="仿宋_GB2312"/>
          <w:sz w:val="32"/>
          <w:szCs w:val="32"/>
        </w:rPr>
        <w:t>承办的提</w:t>
      </w:r>
      <w:r>
        <w:rPr>
          <w:rFonts w:hint="eastAsia" w:ascii="仿宋_GB2312" w:eastAsia="仿宋_GB2312"/>
          <w:sz w:val="32"/>
          <w:szCs w:val="32"/>
        </w:rPr>
        <w:t>起</w:t>
      </w:r>
      <w:r>
        <w:rPr>
          <w:rFonts w:ascii="仿宋_GB2312" w:eastAsia="仿宋_GB2312"/>
          <w:sz w:val="32"/>
          <w:szCs w:val="32"/>
        </w:rPr>
        <w:t>公益诉讼工作。</w:t>
      </w:r>
      <w:r>
        <w:rPr>
          <w:rFonts w:hint="eastAsia" w:ascii="仿宋_GB2312" w:eastAsia="仿宋_GB2312"/>
          <w:sz w:val="32"/>
          <w:szCs w:val="32"/>
        </w:rPr>
        <w:t> </w:t>
      </w:r>
    </w:p>
    <w:p>
      <w:pPr>
        <w:spacing w:line="578" w:lineRule="exact"/>
        <w:ind w:firstLine="640"/>
        <w:rPr>
          <w:rFonts w:ascii="仿宋_GB2312" w:eastAsia="仿宋_GB2312"/>
          <w:sz w:val="32"/>
          <w:szCs w:val="32"/>
        </w:rPr>
      </w:pPr>
      <w:r>
        <w:rPr>
          <w:rFonts w:hint="eastAsia" w:ascii="仿宋_GB2312" w:eastAsia="仿宋_GB2312"/>
          <w:sz w:val="32"/>
          <w:szCs w:val="32"/>
        </w:rPr>
        <w:t>（九）负责对本辖区的看守所、社区矫正机构等执法活动的法律监督工作。</w:t>
      </w:r>
    </w:p>
    <w:p>
      <w:pPr>
        <w:spacing w:line="578" w:lineRule="exact"/>
        <w:ind w:firstLine="640"/>
        <w:rPr>
          <w:rFonts w:ascii="仿宋_GB2312" w:eastAsia="仿宋_GB2312"/>
          <w:sz w:val="32"/>
          <w:szCs w:val="32"/>
        </w:rPr>
      </w:pPr>
      <w:r>
        <w:rPr>
          <w:rFonts w:hint="eastAsia" w:ascii="仿宋_GB2312" w:eastAsia="仿宋_GB2312"/>
          <w:sz w:val="32"/>
          <w:szCs w:val="32"/>
        </w:rPr>
        <w:t>（十）受理向本院提出的控告申诉。</w:t>
      </w:r>
    </w:p>
    <w:p>
      <w:pPr>
        <w:spacing w:line="578" w:lineRule="exact"/>
        <w:ind w:firstLine="640"/>
        <w:rPr>
          <w:rFonts w:hint="eastAsia" w:ascii="仿宋_GB2312" w:eastAsia="仿宋_GB2312"/>
          <w:sz w:val="32"/>
          <w:szCs w:val="32"/>
        </w:rPr>
      </w:pPr>
      <w:r>
        <w:rPr>
          <w:rFonts w:hint="eastAsia" w:ascii="仿宋_GB2312" w:eastAsia="仿宋_GB2312"/>
          <w:sz w:val="32"/>
          <w:szCs w:val="32"/>
        </w:rPr>
        <w:t>（十一）对检察工作中具体应用法律的问题进行调查研究，依程序向立法机关和上级检察院提出立法以及司法解释建议。</w:t>
      </w:r>
    </w:p>
    <w:p>
      <w:pPr>
        <w:spacing w:line="578" w:lineRule="exact"/>
        <w:ind w:firstLine="640"/>
        <w:rPr>
          <w:rFonts w:ascii="仿宋_GB2312" w:eastAsia="仿宋_GB2312"/>
          <w:sz w:val="32"/>
          <w:szCs w:val="32"/>
        </w:rPr>
      </w:pPr>
      <w:r>
        <w:rPr>
          <w:rFonts w:hint="eastAsia" w:ascii="仿宋_GB2312" w:eastAsia="仿宋_GB2312"/>
          <w:sz w:val="32"/>
          <w:szCs w:val="32"/>
        </w:rPr>
        <w:t>（十二）在上级检察机关指导下，开展检察理论研究工作。</w:t>
      </w:r>
    </w:p>
    <w:p>
      <w:pPr>
        <w:spacing w:line="578" w:lineRule="exact"/>
        <w:ind w:firstLine="640"/>
        <w:rPr>
          <w:rFonts w:ascii="仿宋_GB2312" w:eastAsia="仿宋_GB2312"/>
          <w:sz w:val="32"/>
          <w:szCs w:val="32"/>
        </w:rPr>
      </w:pPr>
      <w:r>
        <w:rPr>
          <w:rFonts w:hint="eastAsia" w:ascii="仿宋_GB2312" w:eastAsia="仿宋_GB2312"/>
          <w:sz w:val="32"/>
          <w:szCs w:val="32"/>
        </w:rPr>
        <w:t>（十三）负责本院队伍建设、思想政治工作和意识形态工作。配合省检察院，协同省机构编制部门管理本院的机构设置及人员编制，制定本院相关人员管理办法。负责组织开展本院教育培训工作。</w:t>
      </w:r>
    </w:p>
    <w:p>
      <w:pPr>
        <w:spacing w:line="578" w:lineRule="exact"/>
        <w:ind w:firstLine="640"/>
        <w:rPr>
          <w:rFonts w:ascii="仿宋_GB2312" w:eastAsia="仿宋_GB2312"/>
          <w:sz w:val="32"/>
          <w:szCs w:val="32"/>
        </w:rPr>
      </w:pPr>
      <w:r>
        <w:rPr>
          <w:rFonts w:hint="eastAsia" w:ascii="仿宋_GB2312" w:eastAsia="仿宋_GB2312"/>
          <w:sz w:val="32"/>
          <w:szCs w:val="32"/>
        </w:rPr>
        <w:t xml:space="preserve">（十四）协同组织部门依照干部管理权限对本院相关人员进行管理、考核。负责本院检察官等级评定和晋升、考核、调配等工作。负责本院其他检察人员的考核、调配、任免等工作。 </w:t>
      </w:r>
    </w:p>
    <w:p>
      <w:pPr>
        <w:spacing w:line="578" w:lineRule="exact"/>
        <w:ind w:firstLine="640"/>
        <w:rPr>
          <w:rFonts w:hint="eastAsia" w:ascii="仿宋_GB2312" w:eastAsia="仿宋_GB2312"/>
          <w:sz w:val="32"/>
          <w:szCs w:val="32"/>
        </w:rPr>
      </w:pPr>
      <w:r>
        <w:rPr>
          <w:rFonts w:hint="eastAsia" w:ascii="仿宋_GB2312" w:eastAsia="仿宋_GB2312"/>
          <w:sz w:val="32"/>
          <w:szCs w:val="32"/>
        </w:rPr>
        <w:t>（十五）负责在本院开展检务督察工作。</w:t>
      </w:r>
    </w:p>
    <w:p>
      <w:pPr>
        <w:spacing w:line="578" w:lineRule="exact"/>
        <w:ind w:firstLine="640"/>
        <w:rPr>
          <w:rFonts w:ascii="仿宋_GB2312" w:eastAsia="仿宋_GB2312"/>
          <w:sz w:val="32"/>
          <w:szCs w:val="32"/>
        </w:rPr>
      </w:pPr>
      <w:r>
        <w:rPr>
          <w:rFonts w:hint="eastAsia" w:ascii="仿宋_GB2312" w:eastAsia="仿宋_GB2312"/>
          <w:sz w:val="32"/>
          <w:szCs w:val="32"/>
        </w:rPr>
        <w:t>（十六）负责本院的财务装备管理工作。</w:t>
      </w:r>
    </w:p>
    <w:p>
      <w:pPr>
        <w:spacing w:line="578" w:lineRule="exact"/>
        <w:ind w:firstLine="640"/>
        <w:rPr>
          <w:rFonts w:hint="eastAsia" w:ascii="仿宋_GB2312" w:eastAsia="仿宋_GB2312"/>
          <w:sz w:val="32"/>
          <w:szCs w:val="32"/>
        </w:rPr>
      </w:pPr>
      <w:r>
        <w:rPr>
          <w:rFonts w:hint="eastAsia" w:ascii="仿宋_GB2312" w:eastAsia="仿宋_GB2312"/>
          <w:sz w:val="32"/>
          <w:szCs w:val="32"/>
        </w:rPr>
        <w:t>（十七）承担县委、县人大和上级人民检察院交办的其他工作。</w:t>
      </w:r>
    </w:p>
    <w:p>
      <w:pPr>
        <w:spacing w:line="578" w:lineRule="exact"/>
        <w:ind w:firstLine="640" w:firstLineChars="200"/>
        <w:rPr>
          <w:rFonts w:ascii="黑体" w:hAnsi="黑体" w:eastAsia="黑体" w:cs="仿宋_GB2312"/>
          <w:sz w:val="32"/>
          <w:szCs w:val="32"/>
        </w:rPr>
      </w:pPr>
      <w:r>
        <w:rPr>
          <w:rFonts w:hint="eastAsia" w:ascii="黑体" w:hAnsi="黑体" w:eastAsia="黑体" w:cs="仿宋_GB2312"/>
          <w:sz w:val="32"/>
          <w:szCs w:val="32"/>
          <w:lang w:val="en-US" w:eastAsia="zh-CN"/>
        </w:rPr>
        <w:t>二、</w:t>
      </w:r>
      <w:r>
        <w:rPr>
          <w:rFonts w:hint="eastAsia" w:ascii="黑体" w:hAnsi="黑体" w:eastAsia="黑体" w:cs="仿宋_GB2312"/>
          <w:sz w:val="32"/>
          <w:szCs w:val="32"/>
        </w:rPr>
        <w:t>部门预算单位构成</w:t>
      </w:r>
    </w:p>
    <w:p>
      <w:pPr>
        <w:ind w:firstLine="640" w:firstLineChars="200"/>
        <w:jc w:val="left"/>
        <w:rPr>
          <w:rFonts w:hint="eastAsia" w:ascii="仿宋_GB2312" w:hAnsi="黑体" w:eastAsia="仿宋_GB2312" w:cs="宋体"/>
          <w:color w:val="000000"/>
          <w:kern w:val="0"/>
          <w:sz w:val="32"/>
          <w:szCs w:val="30"/>
          <w:lang w:val="en-US" w:eastAsia="zh-CN"/>
        </w:rPr>
      </w:pPr>
      <w:r>
        <w:rPr>
          <w:rFonts w:hint="eastAsia" w:ascii="仿宋_GB2312" w:hAnsi="黑体" w:eastAsia="仿宋_GB2312" w:cs="宋体"/>
          <w:color w:val="000000"/>
          <w:kern w:val="0"/>
          <w:sz w:val="32"/>
          <w:szCs w:val="30"/>
          <w:lang w:eastAsia="zh-CN"/>
        </w:rPr>
        <w:t>纳入屯昌县人民检察院</w:t>
      </w:r>
      <w:r>
        <w:rPr>
          <w:rFonts w:hint="eastAsia" w:ascii="仿宋_GB2312" w:hAnsi="黑体" w:eastAsia="仿宋_GB2312" w:cs="宋体"/>
          <w:color w:val="000000"/>
          <w:kern w:val="0"/>
          <w:sz w:val="32"/>
          <w:szCs w:val="30"/>
          <w:lang w:val="en-US" w:eastAsia="zh-CN"/>
        </w:rPr>
        <w:t>2022年预算编制范围的只有屯昌人民检察院本机。本部门内设机构分别为：综合管理部、第一检察部、第二检察部（驻县看守所检察室）、第三检察室、第四检察部（屯昌县人民检察院检察服务中心）、司法检察大队（与第四检察部合署办公）、派驻新兴检察室、派驻枫木检察室。</w:t>
      </w:r>
    </w:p>
    <w:p>
      <w:pPr>
        <w:ind w:firstLine="640" w:firstLineChars="200"/>
        <w:jc w:val="left"/>
        <w:rPr>
          <w:rFonts w:hint="eastAsia" w:ascii="仿宋_GB2312" w:hAnsi="黑体" w:eastAsia="仿宋_GB2312" w:cs="宋体"/>
          <w:color w:val="000000"/>
          <w:kern w:val="0"/>
          <w:sz w:val="32"/>
          <w:szCs w:val="30"/>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cs="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年部门预算表</w:t>
      </w:r>
    </w:p>
    <w:p>
      <w:pPr>
        <w:ind w:left="800"/>
        <w:jc w:val="left"/>
        <w:rPr>
          <w:rFonts w:hint="eastAsia" w:ascii="黑体" w:hAnsi="黑体" w:eastAsia="黑体"/>
          <w:sz w:val="32"/>
          <w:szCs w:val="32"/>
          <w:lang w:eastAsia="zh-CN"/>
        </w:rPr>
      </w:pPr>
    </w:p>
    <w:p>
      <w:pPr>
        <w:pStyle w:val="7"/>
        <w:numPr>
          <w:ilvl w:val="0"/>
          <w:numId w:val="0"/>
        </w:numPr>
        <w:ind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财政拨款收支总表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六、政府性基金预算“三公”经费支出表（见附表）</w:t>
      </w:r>
    </w:p>
    <w:p>
      <w:pPr>
        <w:pStyle w:val="7"/>
        <w:numPr>
          <w:ilvl w:val="0"/>
          <w:numId w:val="0"/>
        </w:numPr>
        <w:ind w:leftChars="0" w:firstLine="640" w:firstLineChars="20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部门收支总表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部门收入总表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jc w:val="left"/>
        <w:rPr>
          <w:rFonts w:ascii="黑体" w:hAnsi="黑体" w:eastAsia="黑体"/>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部门支出总表</w:t>
      </w:r>
      <w:r>
        <w:rPr>
          <w:rFonts w:hint="eastAsia" w:ascii="仿宋_GB2312" w:hAnsi="仿宋_GB2312" w:eastAsia="仿宋_GB2312" w:cs="仿宋_GB2312"/>
          <w:sz w:val="32"/>
          <w:szCs w:val="32"/>
          <w:lang w:eastAsia="zh-CN"/>
        </w:rPr>
        <w:t>（见附表）</w:t>
      </w:r>
    </w:p>
    <w:p>
      <w:pPr>
        <w:pStyle w:val="7"/>
        <w:numPr>
          <w:ilvl w:val="0"/>
          <w:numId w:val="0"/>
        </w:numPr>
        <w:ind w:leftChars="0" w:firstLine="640" w:firstLineChars="200"/>
        <w:jc w:val="left"/>
        <w:rPr>
          <w:rFonts w:hint="eastAsia" w:ascii="黑体" w:hAnsi="黑体" w:eastAsia="黑体"/>
          <w:sz w:val="32"/>
          <w:szCs w:val="32"/>
          <w:lang w:eastAsia="zh-CN"/>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r>
        <w:rPr>
          <w:rFonts w:hint="eastAsia" w:ascii="仿宋_GB2312" w:hAnsi="仿宋_GB2312" w:eastAsia="仿宋_GB2312" w:cs="仿宋_GB2312"/>
          <w:sz w:val="32"/>
          <w:szCs w:val="32"/>
          <w:lang w:eastAsia="zh-CN"/>
        </w:rPr>
        <w:t>（见附表）</w:t>
      </w:r>
    </w:p>
    <w:p>
      <w:pPr>
        <w:jc w:val="left"/>
        <w:rPr>
          <w:rFonts w:hint="eastAsia" w:ascii="黑体" w:hAnsi="黑体" w:eastAsia="黑体"/>
          <w:sz w:val="32"/>
          <w:szCs w:val="32"/>
          <w:lang w:eastAsia="zh-CN"/>
        </w:rPr>
      </w:pPr>
    </w:p>
    <w:p>
      <w:pPr>
        <w:jc w:val="center"/>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 xml:space="preserve">第三部分  </w:t>
      </w:r>
      <w:r>
        <w:rPr>
          <w:rFonts w:hint="eastAsia" w:ascii="黑体" w:hAnsi="黑体" w:eastAsia="黑体" w:cs="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年财政拨款收支预算情况的总体说明</w:t>
      </w:r>
    </w:p>
    <w:p>
      <w:pPr>
        <w:ind w:firstLine="640" w:firstLineChars="200"/>
        <w:jc w:val="left"/>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1460.98</w:t>
      </w:r>
      <w:r>
        <w:rPr>
          <w:rFonts w:hint="eastAsia" w:ascii="仿宋_GB2312" w:hAnsi="黑体" w:eastAsia="仿宋_GB2312"/>
          <w:sz w:val="32"/>
          <w:szCs w:val="32"/>
        </w:rPr>
        <w:t>万元。</w:t>
      </w:r>
      <w:r>
        <w:rPr>
          <w:rFonts w:hint="eastAsia" w:ascii="仿宋_GB2312" w:hAnsi="黑体" w:eastAsia="仿宋_GB2312"/>
          <w:sz w:val="32"/>
          <w:szCs w:val="32"/>
          <w:lang w:eastAsia="zh-CN"/>
        </w:rPr>
        <w:t>较</w:t>
      </w:r>
      <w:r>
        <w:rPr>
          <w:rFonts w:hint="eastAsia" w:ascii="仿宋_GB2312" w:hAnsi="黑体" w:eastAsia="仿宋_GB2312"/>
          <w:sz w:val="32"/>
          <w:szCs w:val="32"/>
          <w:lang w:val="en-US" w:eastAsia="zh-CN"/>
        </w:rPr>
        <w:t>2021年增加23.58万元。主要原因是：一般公共预算本年收入增加。</w:t>
      </w:r>
      <w:r>
        <w:rPr>
          <w:rFonts w:hint="eastAsia" w:ascii="仿宋_GB2312" w:hAnsi="黑体" w:eastAsia="仿宋_GB2312"/>
          <w:sz w:val="32"/>
          <w:szCs w:val="32"/>
          <w:lang w:eastAsia="zh-CN"/>
        </w:rPr>
        <w:t>其中，</w:t>
      </w:r>
      <w:r>
        <w:rPr>
          <w:rFonts w:hint="eastAsia" w:ascii="仿宋_GB2312" w:hAnsi="黑体" w:eastAsia="仿宋_GB2312"/>
          <w:sz w:val="32"/>
          <w:szCs w:val="32"/>
        </w:rPr>
        <w:t>收入总计</w:t>
      </w:r>
      <w:r>
        <w:rPr>
          <w:rFonts w:hint="eastAsia" w:ascii="仿宋_GB2312" w:hAnsi="黑体" w:eastAsia="仿宋_GB2312"/>
          <w:sz w:val="32"/>
          <w:szCs w:val="32"/>
          <w:lang w:val="en-US" w:eastAsia="zh-CN"/>
        </w:rPr>
        <w:t>1460.98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1451.91</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上年结转9.07万元</w:t>
      </w:r>
      <w:r>
        <w:rPr>
          <w:rFonts w:hint="eastAsia" w:ascii="仿宋_GB2312" w:hAnsi="黑体" w:eastAsia="仿宋_GB2312"/>
          <w:sz w:val="32"/>
          <w:szCs w:val="32"/>
        </w:rPr>
        <w:t>。</w:t>
      </w:r>
      <w:r>
        <w:rPr>
          <w:rFonts w:hint="eastAsia" w:ascii="仿宋_GB2312" w:hAnsi="黑体" w:eastAsia="仿宋_GB2312"/>
          <w:sz w:val="32"/>
          <w:szCs w:val="32"/>
          <w:lang w:eastAsia="zh-CN"/>
        </w:rPr>
        <w:t>支出总计</w:t>
      </w:r>
      <w:r>
        <w:rPr>
          <w:rFonts w:hint="eastAsia" w:ascii="仿宋_GB2312" w:hAnsi="黑体" w:eastAsia="仿宋_GB2312"/>
          <w:sz w:val="32"/>
          <w:szCs w:val="32"/>
          <w:lang w:val="en-US" w:eastAsia="zh-CN"/>
        </w:rPr>
        <w:t>1460.98万元，包括公共安全支出1231.85万元，社会保障和就业支出80.45万元，卫生健康支出94.92万元，住房保障支出53.76万元，结转下年0万元。</w:t>
      </w:r>
    </w:p>
    <w:p>
      <w:pPr>
        <w:ind w:firstLine="640" w:firstLineChars="20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1460.98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增加23.58</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主要原因：一是公共安全支出增加；二是社会保障和就业支出增加。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lang w:val="en-US" w:eastAsia="zh-CN"/>
        </w:rPr>
        <w:t>1231.85万元，占84.32%，社会保障和就业支出80.45万元，占5.5%，卫生健康支出94.92万元，占6.5%，住房保障支出53.76万元，占3.68%</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1.公共安全支出（</w:t>
      </w:r>
      <w:r>
        <w:rPr>
          <w:rFonts w:hint="eastAsia" w:ascii="仿宋_GB2312" w:hAnsi="黑体" w:eastAsia="仿宋_GB2312" w:cs="仿宋_GB2312"/>
          <w:sz w:val="32"/>
          <w:szCs w:val="32"/>
          <w:lang w:eastAsia="zh-CN"/>
        </w:rPr>
        <w:t>类</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检察</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款</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行政运行（项）</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903.11</w:t>
      </w:r>
      <w:r>
        <w:rPr>
          <w:rFonts w:hint="eastAsia" w:ascii="仿宋_GB2312" w:hAnsi="黑体" w:eastAsia="仿宋_GB2312"/>
          <w:sz w:val="32"/>
          <w:szCs w:val="32"/>
        </w:rPr>
        <w:t>万元，比</w:t>
      </w:r>
      <w:r>
        <w:rPr>
          <w:rFonts w:hint="eastAsia" w:ascii="仿宋_GB2312" w:hAnsi="黑体" w:eastAsia="仿宋_GB2312"/>
          <w:sz w:val="32"/>
          <w:szCs w:val="32"/>
          <w:lang w:val="en-US" w:eastAsia="zh-CN"/>
        </w:rPr>
        <w:t>2021年</w:t>
      </w:r>
      <w:r>
        <w:rPr>
          <w:rFonts w:hint="eastAsia" w:ascii="仿宋_GB2312" w:hAnsi="黑体" w:eastAsia="仿宋_GB2312"/>
          <w:sz w:val="32"/>
          <w:szCs w:val="32"/>
        </w:rPr>
        <w:t>预算数</w:t>
      </w:r>
      <w:r>
        <w:rPr>
          <w:rFonts w:hint="eastAsia" w:ascii="仿宋_GB2312" w:hAnsi="黑体" w:eastAsia="仿宋_GB2312"/>
          <w:sz w:val="32"/>
          <w:szCs w:val="32"/>
          <w:lang w:val="en-US" w:eastAsia="zh-CN"/>
        </w:rPr>
        <w:t>减少43.43</w:t>
      </w:r>
      <w:r>
        <w:rPr>
          <w:rFonts w:hint="eastAsia" w:ascii="仿宋_GB2312" w:hAnsi="黑体" w:eastAsia="仿宋_GB2312"/>
          <w:sz w:val="32"/>
          <w:szCs w:val="32"/>
        </w:rPr>
        <w:t>万元，主要</w:t>
      </w:r>
      <w:r>
        <w:rPr>
          <w:rFonts w:hint="eastAsia" w:ascii="仿宋_GB2312" w:hAnsi="黑体" w:eastAsia="仿宋_GB2312"/>
          <w:sz w:val="32"/>
          <w:szCs w:val="32"/>
          <w:lang w:eastAsia="zh-CN"/>
        </w:rPr>
        <w:t>原因：基本支出人员类经费减少。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公共安全支出（</w:t>
      </w:r>
      <w:r>
        <w:rPr>
          <w:rFonts w:hint="eastAsia" w:ascii="仿宋_GB2312" w:hAnsi="黑体" w:eastAsia="仿宋_GB2312" w:cs="仿宋_GB2312"/>
          <w:sz w:val="32"/>
          <w:szCs w:val="32"/>
          <w:lang w:eastAsia="zh-CN"/>
        </w:rPr>
        <w:t>类</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检察</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款</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检察监督（项）</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246.25</w:t>
      </w:r>
      <w:r>
        <w:rPr>
          <w:rFonts w:hint="eastAsia" w:ascii="仿宋_GB2312" w:hAnsi="黑体" w:eastAsia="仿宋_GB2312"/>
          <w:sz w:val="32"/>
          <w:szCs w:val="32"/>
        </w:rPr>
        <w:t>万元，比</w:t>
      </w:r>
      <w:r>
        <w:rPr>
          <w:rFonts w:hint="eastAsia" w:ascii="仿宋_GB2312" w:hAnsi="黑体" w:eastAsia="仿宋_GB2312"/>
          <w:sz w:val="32"/>
          <w:szCs w:val="32"/>
          <w:lang w:val="en-US" w:eastAsia="zh-CN"/>
        </w:rPr>
        <w:t>2021年</w:t>
      </w:r>
      <w:r>
        <w:rPr>
          <w:rFonts w:hint="eastAsia" w:ascii="仿宋_GB2312" w:hAnsi="黑体" w:eastAsia="仿宋_GB2312"/>
          <w:sz w:val="32"/>
          <w:szCs w:val="32"/>
        </w:rPr>
        <w:t>预算数</w:t>
      </w:r>
      <w:r>
        <w:rPr>
          <w:rFonts w:hint="eastAsia" w:ascii="仿宋_GB2312" w:hAnsi="黑体" w:eastAsia="仿宋_GB2312"/>
          <w:sz w:val="32"/>
          <w:szCs w:val="32"/>
          <w:lang w:val="en-US" w:eastAsia="zh-CN"/>
        </w:rPr>
        <w:t>增加230</w:t>
      </w:r>
      <w:r>
        <w:rPr>
          <w:rFonts w:hint="eastAsia" w:ascii="仿宋_GB2312" w:hAnsi="黑体" w:eastAsia="仿宋_GB2312"/>
          <w:sz w:val="32"/>
          <w:szCs w:val="32"/>
        </w:rPr>
        <w:t>万元，主要</w:t>
      </w:r>
      <w:r>
        <w:rPr>
          <w:rFonts w:hint="eastAsia" w:ascii="仿宋_GB2312" w:hAnsi="黑体" w:eastAsia="仿宋_GB2312"/>
          <w:sz w:val="32"/>
          <w:szCs w:val="32"/>
          <w:lang w:eastAsia="zh-CN"/>
        </w:rPr>
        <w:t>原因：项目调整，原中央转移支付资金列入该项目。</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公共安全支出（</w:t>
      </w:r>
      <w:r>
        <w:rPr>
          <w:rFonts w:hint="eastAsia" w:ascii="仿宋_GB2312" w:hAnsi="黑体" w:eastAsia="仿宋_GB2312" w:cs="仿宋_GB2312"/>
          <w:sz w:val="32"/>
          <w:szCs w:val="32"/>
          <w:lang w:eastAsia="zh-CN"/>
        </w:rPr>
        <w:t>类</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检察</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款</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其他检察支出（项）</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82.48</w:t>
      </w:r>
      <w:r>
        <w:rPr>
          <w:rFonts w:hint="eastAsia" w:ascii="仿宋_GB2312" w:hAnsi="黑体" w:eastAsia="仿宋_GB2312"/>
          <w:sz w:val="32"/>
          <w:szCs w:val="32"/>
        </w:rPr>
        <w:t>万元，比</w:t>
      </w:r>
      <w:r>
        <w:rPr>
          <w:rFonts w:hint="eastAsia" w:ascii="仿宋_GB2312" w:hAnsi="黑体" w:eastAsia="仿宋_GB2312"/>
          <w:sz w:val="32"/>
          <w:szCs w:val="32"/>
          <w:lang w:val="en-US" w:eastAsia="zh-CN"/>
        </w:rPr>
        <w:t>2021年</w:t>
      </w:r>
      <w:r>
        <w:rPr>
          <w:rFonts w:hint="eastAsia" w:ascii="仿宋_GB2312" w:hAnsi="黑体" w:eastAsia="仿宋_GB2312"/>
          <w:sz w:val="32"/>
          <w:szCs w:val="32"/>
        </w:rPr>
        <w:t>预算数</w:t>
      </w:r>
      <w:r>
        <w:rPr>
          <w:rFonts w:hint="eastAsia" w:ascii="仿宋_GB2312" w:hAnsi="黑体" w:eastAsia="仿宋_GB2312"/>
          <w:sz w:val="32"/>
          <w:szCs w:val="32"/>
          <w:lang w:val="en-US" w:eastAsia="zh-CN"/>
        </w:rPr>
        <w:t>减少178.76</w:t>
      </w:r>
      <w:r>
        <w:rPr>
          <w:rFonts w:hint="eastAsia" w:ascii="仿宋_GB2312" w:hAnsi="黑体" w:eastAsia="仿宋_GB2312"/>
          <w:sz w:val="32"/>
          <w:szCs w:val="32"/>
        </w:rPr>
        <w:t>万元，主要</w:t>
      </w:r>
      <w:r>
        <w:rPr>
          <w:rFonts w:hint="eastAsia" w:ascii="仿宋_GB2312" w:hAnsi="黑体" w:eastAsia="仿宋_GB2312"/>
          <w:sz w:val="32"/>
          <w:szCs w:val="32"/>
          <w:lang w:eastAsia="zh-CN"/>
        </w:rPr>
        <w:t>原因：一</w:t>
      </w:r>
      <w:r>
        <w:rPr>
          <w:rFonts w:hint="eastAsia" w:ascii="仿宋_GB2312" w:hAnsi="黑体" w:eastAsia="仿宋_GB2312"/>
          <w:sz w:val="32"/>
          <w:szCs w:val="32"/>
        </w:rPr>
        <w:t>是</w:t>
      </w:r>
      <w:r>
        <w:rPr>
          <w:rFonts w:hint="eastAsia" w:ascii="仿宋_GB2312" w:hAnsi="黑体" w:eastAsia="仿宋_GB2312"/>
          <w:sz w:val="32"/>
          <w:szCs w:val="32"/>
          <w:lang w:val="en-US" w:eastAsia="zh-CN"/>
        </w:rPr>
        <w:t>项目调整，原中央转移支付资金列入公共安全支出（类）检察（款）检察监督（项）；二是按照党中央、国务院、省委、省政府关于过紧日子的有关要求，压缩相关项目经费</w:t>
      </w:r>
      <w:r>
        <w:rPr>
          <w:rFonts w:hint="eastAsia" w:ascii="仿宋_GB2312" w:hAnsi="黑体" w:eastAsia="仿宋_GB2312"/>
          <w:sz w:val="32"/>
          <w:szCs w:val="32"/>
          <w:lang w:eastAsia="zh-CN"/>
        </w:rPr>
        <w:t>。</w:t>
      </w:r>
    </w:p>
    <w:p>
      <w:pPr>
        <w:numPr>
          <w:ilvl w:val="0"/>
          <w:numId w:val="0"/>
        </w:num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社会保障和就业支出（类）行政事业单位养老支出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机关事业单位基本养老保险缴费支出（项）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64.22</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lang w:val="en-US" w:eastAsia="zh-CN"/>
        </w:rPr>
        <w:t>2021年预算数减少5.21万元，主要原因：2022年</w:t>
      </w:r>
      <w:r>
        <w:rPr>
          <w:rFonts w:hint="eastAsia" w:ascii="仿宋_GB2312" w:hAnsi="黑体" w:eastAsia="仿宋_GB2312" w:cs="仿宋_GB2312"/>
          <w:sz w:val="32"/>
          <w:szCs w:val="32"/>
          <w:lang w:eastAsia="zh-CN"/>
        </w:rPr>
        <w:t>养老保险缴费基数降低</w:t>
      </w:r>
      <w:r>
        <w:rPr>
          <w:rFonts w:hint="eastAsia" w:ascii="仿宋_GB2312" w:hAnsi="黑体" w:eastAsia="仿宋_GB2312"/>
          <w:sz w:val="32"/>
          <w:szCs w:val="32"/>
          <w:lang w:val="en-US" w:eastAsia="zh-CN"/>
        </w:rPr>
        <w:t>。</w:t>
      </w:r>
    </w:p>
    <w:p>
      <w:pPr>
        <w:numPr>
          <w:ilvl w:val="0"/>
          <w:numId w:val="0"/>
        </w:num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lang w:eastAsia="zh-CN"/>
        </w:rPr>
        <w:t>社会保障和就业支出（类）行政事业单位养老支出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机关事业单位职业年金缴费支出（项）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16.23</w:t>
      </w:r>
      <w:r>
        <w:rPr>
          <w:rFonts w:hint="eastAsia" w:ascii="仿宋_GB2312" w:hAnsi="黑体" w:eastAsia="仿宋_GB2312"/>
          <w:sz w:val="32"/>
          <w:szCs w:val="32"/>
        </w:rPr>
        <w:t>万元</w:t>
      </w:r>
      <w:r>
        <w:rPr>
          <w:rFonts w:hint="eastAsia" w:ascii="仿宋_GB2312" w:hAnsi="黑体" w:eastAsia="仿宋_GB2312"/>
          <w:sz w:val="32"/>
          <w:szCs w:val="32"/>
          <w:lang w:eastAsia="zh-CN"/>
        </w:rPr>
        <w:t>，较</w:t>
      </w:r>
      <w:r>
        <w:rPr>
          <w:rFonts w:hint="eastAsia" w:ascii="仿宋_GB2312" w:hAnsi="黑体" w:eastAsia="仿宋_GB2312"/>
          <w:sz w:val="32"/>
          <w:szCs w:val="32"/>
          <w:lang w:val="en-US" w:eastAsia="zh-CN"/>
        </w:rPr>
        <w:t>2021年0预算增加16.23万元。主要原因：2021年无该项支出预算。</w:t>
      </w:r>
    </w:p>
    <w:p>
      <w:pPr>
        <w:numPr>
          <w:ilvl w:val="0"/>
          <w:numId w:val="0"/>
        </w:num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6.卫生健康支出（类）行政事业单位医疗（款）行政单位医疗（项）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34.12</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，与2021年</w:t>
      </w:r>
      <w:r>
        <w:rPr>
          <w:rFonts w:hint="eastAsia" w:ascii="仿宋_GB2312" w:hAnsi="黑体" w:eastAsia="仿宋_GB2312"/>
          <w:sz w:val="32"/>
          <w:szCs w:val="32"/>
        </w:rPr>
        <w:t>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2.77万元，主要原因：2022年缴费基数降低。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7.卫生健康支出（类）行政事业单位医疗（款）公务员医疗补助（项）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60.80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，与2021年</w:t>
      </w:r>
      <w:r>
        <w:rPr>
          <w:rFonts w:hint="eastAsia" w:ascii="仿宋_GB2312" w:hAnsi="黑体" w:eastAsia="仿宋_GB2312"/>
          <w:sz w:val="32"/>
          <w:szCs w:val="32"/>
        </w:rPr>
        <w:t>预算数</w:t>
      </w:r>
      <w:r>
        <w:rPr>
          <w:rFonts w:hint="eastAsia" w:ascii="仿宋_GB2312" w:hAnsi="黑体" w:eastAsia="仿宋_GB2312"/>
          <w:sz w:val="32"/>
          <w:szCs w:val="32"/>
          <w:lang w:eastAsia="zh-CN"/>
        </w:rPr>
        <w:t>增</w:t>
      </w:r>
      <w:r>
        <w:rPr>
          <w:rFonts w:hint="eastAsia" w:ascii="仿宋_GB2312" w:hAnsi="黑体" w:eastAsia="仿宋_GB2312"/>
          <w:sz w:val="32"/>
          <w:szCs w:val="32"/>
          <w:lang w:val="en-US" w:eastAsia="zh-CN"/>
        </w:rPr>
        <w:t>加3.68万元，主要原因：2022年缴费基数提高。</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8.住房保障支出（类）住房改革支出（款）住房公积金（项）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53.76</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lang w:val="en-US" w:eastAsia="zh-CN"/>
        </w:rPr>
        <w:t>2021年</w:t>
      </w:r>
      <w:r>
        <w:rPr>
          <w:rFonts w:hint="eastAsia" w:ascii="仿宋_GB2312" w:hAnsi="黑体" w:eastAsia="仿宋_GB2312"/>
          <w:sz w:val="32"/>
          <w:szCs w:val="32"/>
        </w:rPr>
        <w:t>预算数</w:t>
      </w:r>
      <w:r>
        <w:rPr>
          <w:rFonts w:hint="eastAsia" w:ascii="仿宋_GB2312" w:hAnsi="黑体" w:eastAsia="仿宋_GB2312"/>
          <w:sz w:val="32"/>
          <w:szCs w:val="32"/>
          <w:lang w:val="en-US" w:eastAsia="zh-CN"/>
        </w:rPr>
        <w:t xml:space="preserve">增加3.82万元，主要原因：2022年缴费基数提高。 </w:t>
      </w:r>
    </w:p>
    <w:p>
      <w:pPr>
        <w:ind w:firstLine="640" w:firstLineChars="20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hint="eastAsia" w:ascii="黑体" w:hAnsi="黑体" w:eastAsia="黑体"/>
          <w:sz w:val="32"/>
          <w:szCs w:val="32"/>
        </w:rPr>
        <w:t>年一般公共预算基本支出情况说明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屯昌县人民检察院</w:t>
      </w:r>
      <w:r>
        <w:rPr>
          <w:rFonts w:hint="eastAsia" w:ascii="仿宋_GB2312" w:hAnsi="黑体" w:eastAsia="仿宋_GB2312"/>
          <w:sz w:val="32"/>
          <w:szCs w:val="32"/>
        </w:rPr>
        <w:t>（部门）</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1072.24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849.97</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eastAsia="zh-CN"/>
        </w:rPr>
        <w:t>城镇职工基本医疗保险费用</w:t>
      </w:r>
      <w:r>
        <w:rPr>
          <w:rFonts w:hint="eastAsia" w:ascii="仿宋_GB2312" w:hAnsi="黑体" w:eastAsia="仿宋_GB2312"/>
          <w:sz w:val="32"/>
          <w:szCs w:val="32"/>
        </w:rPr>
        <w:t>、</w:t>
      </w:r>
      <w:r>
        <w:rPr>
          <w:rFonts w:hint="eastAsia" w:ascii="仿宋_GB2312" w:hAnsi="黑体" w:eastAsia="仿宋_GB2312"/>
          <w:sz w:val="32"/>
          <w:szCs w:val="32"/>
          <w:lang w:eastAsia="zh-CN"/>
        </w:rPr>
        <w:t>公务员医疗补助缴费、其他社会保障缴费、住房公积金、医疗费、其他工资福利支出、邮电费、其他交通费用</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222.27</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eastAsia="zh-CN"/>
        </w:rPr>
        <w:t>印刷费、</w:t>
      </w:r>
      <w:r>
        <w:rPr>
          <w:rFonts w:hint="eastAsia" w:ascii="仿宋_GB2312" w:hAnsi="黑体" w:eastAsia="仿宋_GB2312"/>
          <w:sz w:val="32"/>
          <w:szCs w:val="32"/>
        </w:rPr>
        <w:t>咨询费、手续费、水费、电费、邮电费、物业管理费、差旅费、维修（护）费、租赁费、</w:t>
      </w:r>
      <w:r>
        <w:rPr>
          <w:rFonts w:hint="eastAsia" w:ascii="仿宋_GB2312" w:hAnsi="黑体" w:eastAsia="仿宋_GB2312"/>
          <w:sz w:val="32"/>
          <w:szCs w:val="32"/>
          <w:lang w:eastAsia="zh-CN"/>
        </w:rPr>
        <w:t>会议费、</w:t>
      </w:r>
      <w:r>
        <w:rPr>
          <w:rFonts w:hint="eastAsia" w:ascii="仿宋_GB2312" w:hAnsi="黑体" w:eastAsia="仿宋_GB2312"/>
          <w:sz w:val="32"/>
          <w:szCs w:val="32"/>
        </w:rPr>
        <w:t>培训费、</w:t>
      </w:r>
      <w:r>
        <w:rPr>
          <w:rFonts w:hint="eastAsia" w:ascii="仿宋_GB2312" w:hAnsi="黑体" w:eastAsia="仿宋_GB2312"/>
          <w:sz w:val="32"/>
          <w:szCs w:val="32"/>
          <w:lang w:eastAsia="zh-CN"/>
        </w:rPr>
        <w:t>公务接待费、</w:t>
      </w:r>
      <w:r>
        <w:rPr>
          <w:rFonts w:hint="eastAsia" w:ascii="仿宋_GB2312" w:hAnsi="黑体" w:eastAsia="仿宋_GB2312"/>
          <w:sz w:val="32"/>
          <w:szCs w:val="32"/>
        </w:rPr>
        <w:t>被装购置费、</w:t>
      </w:r>
      <w:r>
        <w:rPr>
          <w:rFonts w:hint="eastAsia" w:ascii="仿宋_GB2312" w:hAnsi="黑体" w:eastAsia="仿宋_GB2312"/>
          <w:sz w:val="32"/>
          <w:szCs w:val="32"/>
          <w:lang w:eastAsia="zh-CN"/>
        </w:rPr>
        <w:t>专用燃料费、</w:t>
      </w:r>
      <w:r>
        <w:rPr>
          <w:rFonts w:hint="eastAsia" w:ascii="仿宋_GB2312" w:hAnsi="黑体" w:eastAsia="仿宋_GB2312"/>
          <w:sz w:val="32"/>
          <w:szCs w:val="32"/>
        </w:rPr>
        <w:t>劳务费、工会经费、公务用车运行维护费、</w:t>
      </w:r>
      <w:r>
        <w:rPr>
          <w:rFonts w:hint="eastAsia" w:ascii="仿宋_GB2312" w:hAnsi="黑体" w:eastAsia="仿宋_GB2312"/>
          <w:sz w:val="32"/>
          <w:szCs w:val="32"/>
          <w:lang w:eastAsia="zh-CN"/>
        </w:rPr>
        <w:t>其他商品和服务支出、其他对个人和家庭的补助、办公设备购置费</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年“三公”经费预算数为</w:t>
      </w:r>
      <w:r>
        <w:rPr>
          <w:rFonts w:hint="eastAsia" w:ascii="仿宋_GB2312" w:hAnsi="黑体" w:eastAsia="仿宋_GB2312"/>
          <w:sz w:val="32"/>
          <w:szCs w:val="32"/>
          <w:lang w:val="en-US" w:eastAsia="zh-CN"/>
        </w:rPr>
        <w:t>22.60</w:t>
      </w:r>
      <w:r>
        <w:rPr>
          <w:rFonts w:hint="eastAsia" w:ascii="仿宋_GB2312" w:hAnsi="黑体" w:eastAsia="仿宋_GB2312"/>
          <w:sz w:val="32"/>
          <w:szCs w:val="32"/>
        </w:rPr>
        <w:t>万元，其中：</w:t>
      </w:r>
    </w:p>
    <w:p>
      <w:pPr>
        <w:ind w:firstLine="640" w:firstLineChars="200"/>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持平</w:t>
      </w:r>
      <w:r>
        <w:rPr>
          <w:rFonts w:hint="eastAsia" w:ascii="Times New Roman" w:hAnsi="Times New Roman" w:eastAsia="仿宋_GB2312" w:cs="Times New Roman"/>
          <w:sz w:val="32"/>
          <w:shd w:val="clear" w:color="auto" w:fill="FFFFFF"/>
          <w:lang w:val="en-US" w:eastAsia="zh-CN"/>
        </w:rPr>
        <w:t>。2022年我院未安排出国（境）计划。</w:t>
      </w:r>
    </w:p>
    <w:p>
      <w:pPr>
        <w:ind w:firstLine="640" w:firstLineChars="200"/>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19.60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19.60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减少</w:t>
      </w:r>
      <w:r>
        <w:rPr>
          <w:rFonts w:hint="eastAsia" w:ascii="Times New Roman" w:hAnsi="Times New Roman" w:eastAsia="仿宋_GB2312" w:cs="Times New Roman"/>
          <w:sz w:val="32"/>
          <w:shd w:val="clear" w:color="auto" w:fill="FFFFFF"/>
          <w:lang w:val="en-US" w:eastAsia="zh-CN"/>
        </w:rPr>
        <w:t>12.50万元，主要原因：厉行节约，压缩经费</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我院车辆编制数为7辆，实有数7辆。其中执法执勤用车2辆，机要通信车1辆，特种专业技术用车4辆。。</w:t>
      </w:r>
    </w:p>
    <w:p>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3.00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eastAsia="zh-CN"/>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减少40%，主要原因：厉行节约，压缩经费。2022年计划接待人数35批次，135人次</w:t>
      </w:r>
      <w:r>
        <w:rPr>
          <w:rFonts w:ascii="Times New Roman" w:hAnsi="Times New Roman" w:eastAsia="仿宋_GB2312" w:cs="Times New Roman"/>
          <w:sz w:val="32"/>
          <w:shd w:val="clear" w:color="auto" w:fill="FFFFFF"/>
        </w:rPr>
        <w:t>。</w:t>
      </w:r>
    </w:p>
    <w:p>
      <w:pPr>
        <w:numPr>
          <w:ilvl w:val="0"/>
          <w:numId w:val="5"/>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w:t>
      </w:r>
      <w:r>
        <w:rPr>
          <w:rFonts w:hint="eastAsia" w:ascii="仿宋_GB2312" w:hAnsi="黑体" w:eastAsia="仿宋_GB2312"/>
          <w:sz w:val="32"/>
          <w:szCs w:val="32"/>
          <w:lang w:eastAsia="zh-CN"/>
        </w:rPr>
        <w:t>无</w:t>
      </w:r>
      <w:r>
        <w:rPr>
          <w:rFonts w:hint="eastAsia" w:ascii="仿宋_GB2312" w:hAnsi="黑体" w:eastAsia="仿宋_GB2312"/>
          <w:sz w:val="32"/>
          <w:szCs w:val="32"/>
        </w:rPr>
        <w:t>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屯昌县人民检察院</w:t>
      </w:r>
      <w:r>
        <w:rPr>
          <w:rFonts w:hint="eastAsia" w:ascii="仿宋_GB2312" w:hAnsi="黑体" w:eastAsia="仿宋_GB2312" w:cs="仿宋_GB2312"/>
          <w:sz w:val="32"/>
          <w:szCs w:val="32"/>
        </w:rPr>
        <w:t>所有收入和支出均纳入部门预算管理。收入包括</w:t>
      </w:r>
      <w:r>
        <w:rPr>
          <w:rFonts w:hint="eastAsia" w:ascii="仿宋_GB2312" w:hAnsi="黑体" w:eastAsia="仿宋_GB2312" w:cs="仿宋_GB2312"/>
          <w:b w:val="0"/>
          <w:bCs/>
          <w:sz w:val="32"/>
          <w:szCs w:val="32"/>
        </w:rPr>
        <w:t>：一般公共预算收入</w:t>
      </w:r>
      <w:r>
        <w:rPr>
          <w:rFonts w:hint="eastAsia" w:ascii="仿宋_GB2312" w:hAnsi="黑体" w:eastAsia="仿宋_GB2312" w:cs="仿宋_GB2312"/>
          <w:sz w:val="32"/>
          <w:szCs w:val="32"/>
          <w:lang w:val="en-US" w:eastAsia="zh-CN"/>
        </w:rPr>
        <w:t>1451.91</w:t>
      </w:r>
      <w:r>
        <w:rPr>
          <w:rFonts w:hint="eastAsia" w:ascii="仿宋_GB2312" w:hAnsi="黑体" w:eastAsia="仿宋_GB2312"/>
          <w:sz w:val="32"/>
          <w:szCs w:val="32"/>
        </w:rPr>
        <w:t>万元</w:t>
      </w:r>
      <w:r>
        <w:rPr>
          <w:rFonts w:hint="eastAsia" w:ascii="仿宋_GB2312" w:hAnsi="黑体" w:eastAsia="仿宋_GB2312"/>
          <w:sz w:val="32"/>
          <w:szCs w:val="32"/>
          <w:lang w:eastAsia="zh-CN"/>
        </w:rPr>
        <w:t>，上</w:t>
      </w:r>
      <w:r>
        <w:rPr>
          <w:rFonts w:hint="eastAsia" w:ascii="仿宋_GB2312" w:hAnsi="黑体" w:eastAsia="仿宋_GB2312"/>
          <w:sz w:val="32"/>
          <w:szCs w:val="32"/>
          <w:lang w:val="en-US" w:eastAsia="zh-CN"/>
        </w:rPr>
        <w:t>年一般公共预算结转9.07万元</w:t>
      </w:r>
      <w:r>
        <w:rPr>
          <w:rFonts w:hint="eastAsia" w:ascii="仿宋_GB2312" w:hAnsi="黑体" w:eastAsia="仿宋_GB2312"/>
          <w:sz w:val="32"/>
          <w:szCs w:val="32"/>
          <w:lang w:eastAsia="zh-CN"/>
        </w:rPr>
        <w:t>。</w:t>
      </w:r>
      <w:r>
        <w:rPr>
          <w:rFonts w:hint="eastAsia" w:ascii="仿宋_GB2312" w:hAnsi="黑体" w:eastAsia="仿宋_GB2312"/>
          <w:sz w:val="32"/>
          <w:szCs w:val="32"/>
        </w:rPr>
        <w:t>支出包括：</w:t>
      </w:r>
      <w:r>
        <w:rPr>
          <w:rFonts w:hint="eastAsia" w:ascii="仿宋_GB2312" w:hAnsi="黑体" w:eastAsia="仿宋_GB2312" w:cs="仿宋_GB2312"/>
          <w:sz w:val="32"/>
          <w:szCs w:val="32"/>
        </w:rPr>
        <w:t>公共</w:t>
      </w:r>
      <w:r>
        <w:rPr>
          <w:rFonts w:hint="eastAsia" w:ascii="仿宋_GB2312" w:hAnsi="黑体" w:eastAsia="仿宋_GB2312"/>
          <w:sz w:val="32"/>
          <w:szCs w:val="32"/>
        </w:rPr>
        <w:t>安全支出</w:t>
      </w:r>
      <w:r>
        <w:rPr>
          <w:rFonts w:hint="eastAsia" w:asciiTheme="minorEastAsia" w:hAnsiTheme="minorEastAsia"/>
          <w:sz w:val="30"/>
          <w:szCs w:val="30"/>
          <w:lang w:val="en-US" w:eastAsia="zh-CN"/>
        </w:rPr>
        <w:t>1231.85</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80.45</w:t>
      </w:r>
      <w:r>
        <w:rPr>
          <w:rFonts w:hint="eastAsia" w:ascii="仿宋_GB2312" w:hAnsi="黑体" w:eastAsia="仿宋_GB2312"/>
          <w:sz w:val="32"/>
          <w:szCs w:val="32"/>
        </w:rPr>
        <w:t>万元、卫生健康支出</w:t>
      </w:r>
      <w:r>
        <w:rPr>
          <w:rFonts w:hint="eastAsia" w:asciiTheme="minorEastAsia" w:hAnsiTheme="minorEastAsia"/>
          <w:sz w:val="30"/>
          <w:szCs w:val="30"/>
          <w:lang w:val="en-US" w:eastAsia="zh-CN"/>
        </w:rPr>
        <w:t>94.92</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53.76</w:t>
      </w:r>
      <w:r>
        <w:rPr>
          <w:rFonts w:hint="eastAsia" w:ascii="仿宋_GB2312" w:hAnsi="黑体" w:eastAsia="仿宋_GB2312"/>
          <w:sz w:val="32"/>
          <w:szCs w:val="32"/>
        </w:rPr>
        <w:t>万元。</w:t>
      </w:r>
      <w:r>
        <w:rPr>
          <w:rFonts w:hint="eastAsia" w:ascii="仿宋_GB2312" w:hAnsi="黑体" w:eastAsia="仿宋_GB2312" w:cs="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1460.98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1460.98</w:t>
      </w:r>
      <w:r>
        <w:rPr>
          <w:rFonts w:hint="eastAsia" w:ascii="仿宋_GB2312" w:hAnsi="黑体" w:eastAsia="仿宋_GB2312"/>
          <w:sz w:val="32"/>
          <w:szCs w:val="32"/>
        </w:rPr>
        <w:t>万元，</w:t>
      </w:r>
      <w:r>
        <w:rPr>
          <w:rFonts w:hint="eastAsia" w:ascii="仿宋_GB2312" w:hAnsi="黑体" w:eastAsia="仿宋_GB2312"/>
          <w:sz w:val="32"/>
          <w:szCs w:val="32"/>
          <w:lang w:eastAsia="zh-CN"/>
        </w:rPr>
        <w:t>其中：一般公共预算拨款收入</w:t>
      </w:r>
      <w:r>
        <w:rPr>
          <w:rFonts w:hint="eastAsia" w:ascii="仿宋_GB2312" w:hAnsi="黑体" w:eastAsia="仿宋_GB2312"/>
          <w:sz w:val="32"/>
          <w:szCs w:val="32"/>
          <w:lang w:val="en-US" w:eastAsia="zh-CN"/>
        </w:rPr>
        <w:t>1451.91万元，占比99.38%；</w:t>
      </w:r>
      <w:r>
        <w:rPr>
          <w:rFonts w:hint="eastAsia" w:ascii="仿宋_GB2312" w:hAnsi="黑体" w:eastAsia="仿宋_GB2312"/>
          <w:sz w:val="32"/>
          <w:szCs w:val="32"/>
          <w:lang w:eastAsia="zh-CN"/>
        </w:rPr>
        <w:t>上年结转</w:t>
      </w:r>
      <w:r>
        <w:rPr>
          <w:rFonts w:hint="eastAsia" w:ascii="仿宋_GB2312" w:hAnsi="黑体" w:eastAsia="仿宋_GB2312"/>
          <w:sz w:val="32"/>
          <w:szCs w:val="32"/>
          <w:lang w:val="en-US" w:eastAsia="zh-CN"/>
        </w:rPr>
        <w:t>9.07万元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0.62</w:t>
      </w:r>
      <w:r>
        <w:rPr>
          <w:rFonts w:hint="eastAsia" w:ascii="仿宋_GB2312" w:hAnsi="黑体" w:eastAsia="仿宋_GB2312"/>
          <w:sz w:val="32"/>
          <w:szCs w:val="32"/>
        </w:rPr>
        <w:t>%</w:t>
      </w:r>
      <w:r>
        <w:rPr>
          <w:rFonts w:hint="eastAsia" w:ascii="仿宋_GB2312" w:hAnsi="黑体" w:eastAsia="仿宋_GB2312"/>
          <w:sz w:val="32"/>
          <w:szCs w:val="32"/>
          <w:lang w:eastAsia="zh-CN"/>
        </w:rPr>
        <w:t>。较</w:t>
      </w:r>
      <w:r>
        <w:rPr>
          <w:rFonts w:hint="eastAsia" w:ascii="仿宋_GB2312" w:hAnsi="黑体" w:eastAsia="仿宋_GB2312"/>
          <w:sz w:val="32"/>
          <w:szCs w:val="32"/>
          <w:lang w:val="en-US" w:eastAsia="zh-CN"/>
        </w:rPr>
        <w:t>2021年增加</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原因：一般公共预算本年收入增加。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屯昌县人民检察院</w:t>
      </w:r>
      <w:r>
        <w:rPr>
          <w:rFonts w:hint="eastAsia" w:ascii="仿宋_GB2312" w:hAnsi="黑体" w:eastAsia="仿宋_GB2312"/>
          <w:sz w:val="32"/>
          <w:szCs w:val="32"/>
        </w:rPr>
        <w:t>20</w:t>
      </w:r>
      <w:r>
        <w:rPr>
          <w:rFonts w:hint="eastAsia" w:ascii="仿宋_GB2312" w:hAnsi="黑体" w:eastAsia="仿宋_GB2312"/>
          <w:sz w:val="32"/>
          <w:szCs w:val="32"/>
          <w:lang w:val="en-US" w:eastAsia="zh-CN"/>
        </w:rPr>
        <w:t>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default" w:asciiTheme="majorEastAsia" w:hAnsiTheme="majorEastAsia" w:eastAsiaTheme="majorEastAsia" w:cstheme="majorEastAsia"/>
          <w:sz w:val="28"/>
          <w:szCs w:val="28"/>
          <w:lang w:val="en-US" w:eastAsia="zh-CN"/>
        </w:rPr>
      </w:pPr>
      <w:r>
        <w:rPr>
          <w:rFonts w:hint="eastAsia" w:ascii="仿宋_GB2312" w:hAnsi="黑体" w:eastAsia="仿宋_GB2312" w:cs="仿宋_GB2312"/>
          <w:sz w:val="32"/>
          <w:szCs w:val="32"/>
          <w:lang w:eastAsia="zh-CN"/>
        </w:rPr>
        <w:t>屯昌县人民检察院</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1460.98</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1072.24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73.39</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388.74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26.61</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增加23.58</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主要原因是：一般公共预算本年收入增加。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w:t>
      </w:r>
      <w:r>
        <w:rPr>
          <w:rFonts w:hint="eastAsia" w:ascii="仿宋_GB2312" w:hAnsi="黑体" w:eastAsia="仿宋_GB2312" w:cs="仿宋_GB2312"/>
          <w:sz w:val="32"/>
          <w:szCs w:val="32"/>
        </w:rPr>
        <w:t>屯昌县人民检察院本级机关运行经费预算</w:t>
      </w:r>
      <w:r>
        <w:rPr>
          <w:rFonts w:hint="eastAsia" w:ascii="仿宋_GB2312" w:hAnsi="黑体" w:eastAsia="仿宋_GB2312" w:cs="仿宋_GB2312"/>
          <w:sz w:val="32"/>
          <w:szCs w:val="32"/>
          <w:lang w:val="en-US" w:eastAsia="zh-CN"/>
        </w:rPr>
        <w:t>1460.98</w:t>
      </w:r>
      <w:r>
        <w:rPr>
          <w:rFonts w:hint="eastAsia" w:ascii="仿宋_GB2312" w:hAnsi="黑体" w:eastAsia="仿宋_GB2312" w:cs="仿宋_GB2312"/>
          <w:sz w:val="32"/>
          <w:szCs w:val="32"/>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w:t>
      </w:r>
      <w:r>
        <w:rPr>
          <w:rFonts w:hint="eastAsia" w:ascii="仿宋_GB2312" w:hAnsi="黑体" w:eastAsia="仿宋_GB2312" w:cs="仿宋_GB2312"/>
          <w:sz w:val="32"/>
          <w:szCs w:val="32"/>
        </w:rPr>
        <w:t>屯昌县人民检察院本级项目预算单位政府采购预算总额</w:t>
      </w:r>
      <w:r>
        <w:rPr>
          <w:rFonts w:hint="eastAsia" w:ascii="仿宋_GB2312" w:hAnsi="黑体" w:eastAsia="仿宋_GB2312" w:cs="仿宋_GB2312"/>
          <w:sz w:val="32"/>
          <w:szCs w:val="32"/>
          <w:lang w:val="en-US" w:eastAsia="zh-CN"/>
        </w:rPr>
        <w:t>148.09</w:t>
      </w:r>
      <w:r>
        <w:rPr>
          <w:rFonts w:hint="eastAsia" w:ascii="仿宋_GB2312" w:hAnsi="黑体" w:eastAsia="仿宋_GB2312"/>
          <w:sz w:val="32"/>
          <w:szCs w:val="32"/>
        </w:rPr>
        <w:t>万元</w:t>
      </w:r>
      <w:r>
        <w:rPr>
          <w:rFonts w:hint="eastAsia" w:ascii="仿宋_GB2312" w:hAnsi="黑体" w:eastAsia="仿宋_GB2312"/>
          <w:sz w:val="32"/>
          <w:szCs w:val="32"/>
          <w:lang w:eastAsia="zh-CN"/>
        </w:rPr>
        <w:t>，其中：政府采购货物预算</w:t>
      </w:r>
      <w:r>
        <w:rPr>
          <w:rFonts w:hint="eastAsia" w:ascii="仿宋_GB2312" w:hAnsi="黑体" w:eastAsia="仿宋_GB2312" w:cs="仿宋_GB2312"/>
          <w:sz w:val="32"/>
          <w:szCs w:val="32"/>
          <w:lang w:val="en-US" w:eastAsia="zh-CN"/>
        </w:rPr>
        <w:t>148.09</w:t>
      </w:r>
      <w:r>
        <w:rPr>
          <w:rFonts w:hint="eastAsia" w:ascii="仿宋_GB2312" w:hAnsi="黑体" w:eastAsia="仿宋_GB2312"/>
          <w:sz w:val="32"/>
          <w:szCs w:val="32"/>
          <w:lang w:val="en-US"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屯昌县人民检察院本级预算单位共有车辆</w:t>
      </w: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辆，其中</w:t>
      </w:r>
      <w:r>
        <w:rPr>
          <w:rFonts w:hint="eastAsia" w:ascii="Times New Roman" w:hAnsi="Times New Roman" w:eastAsia="仿宋_GB2312" w:cs="Times New Roman"/>
          <w:sz w:val="32"/>
          <w:shd w:val="clear" w:color="auto" w:fill="FFFFFF"/>
          <w:lang w:val="en-US" w:eastAsia="zh-CN"/>
        </w:rPr>
        <w:t>车辆编制数为7辆，实有数7辆。其中执法执勤用车2辆，机要通信车1辆，特种专业技术用车4辆</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单位价值</w:t>
      </w:r>
      <w:r>
        <w:rPr>
          <w:rFonts w:hint="eastAsia" w:ascii="仿宋_GB2312" w:hAnsi="黑体" w:eastAsia="仿宋_GB2312" w:cs="仿宋_GB2312"/>
          <w:sz w:val="32"/>
          <w:szCs w:val="32"/>
          <w:lang w:val="en-US" w:eastAsia="zh-CN"/>
        </w:rPr>
        <w:t>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仿宋_GB2312" w:hAnsi="黑体" w:eastAsia="仿宋_GB2312"/>
          <w:sz w:val="32"/>
          <w:szCs w:val="32"/>
        </w:rPr>
        <w:t>年</w:t>
      </w:r>
      <w:r>
        <w:rPr>
          <w:rFonts w:hint="eastAsia" w:ascii="仿宋_GB2312" w:hAnsi="黑体" w:eastAsia="仿宋_GB2312" w:cs="仿宋_GB2312"/>
          <w:sz w:val="32"/>
          <w:szCs w:val="32"/>
        </w:rPr>
        <w:t>屯昌县人民检察院</w:t>
      </w:r>
      <w:r>
        <w:rPr>
          <w:rFonts w:hint="eastAsia" w:ascii="仿宋_GB2312" w:hAnsi="黑体" w:eastAsia="仿宋_GB2312" w:cs="仿宋_GB2312"/>
          <w:sz w:val="32"/>
          <w:szCs w:val="32"/>
          <w:lang w:val="en-US" w:eastAsia="zh-CN"/>
        </w:rPr>
        <w:t>17个</w:t>
      </w:r>
      <w:r>
        <w:rPr>
          <w:rFonts w:hint="eastAsia" w:ascii="仿宋_GB2312" w:hAnsi="黑体" w:eastAsia="仿宋_GB2312" w:cs="仿宋_GB2312"/>
          <w:sz w:val="32"/>
          <w:szCs w:val="32"/>
        </w:rPr>
        <w:t>项目实行绩效目标管理，涉及一般公共预算</w:t>
      </w:r>
      <w:r>
        <w:rPr>
          <w:rFonts w:hint="eastAsia" w:ascii="仿宋_GB2312" w:hAnsi="黑体" w:eastAsia="仿宋_GB2312" w:cs="仿宋_GB2312"/>
          <w:sz w:val="32"/>
          <w:szCs w:val="32"/>
          <w:lang w:val="en-US" w:eastAsia="zh-CN"/>
        </w:rPr>
        <w:t>1451.91</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其中:重点项目预算绩效情况:</w:t>
      </w:r>
    </w:p>
    <w:p>
      <w:pPr>
        <w:numPr>
          <w:ilvl w:val="0"/>
          <w:numId w:val="6"/>
        </w:num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聘用制书记员项目，预算安排18.42万元，主要用于不断完善司法人员分类管理，推动聘用制书记员管理制度化、规范化。绩效目标项目资金使用率为80%。</w:t>
      </w:r>
    </w:p>
    <w:p>
      <w:pPr>
        <w:numPr>
          <w:ilvl w:val="0"/>
          <w:numId w:val="6"/>
        </w:numPr>
        <w:ind w:firstLine="640" w:firstLineChars="200"/>
        <w:rPr>
          <w:rFonts w:hint="default" w:ascii="仿宋_GB2312" w:hAnsi="黑体" w:eastAsia="仿宋_GB2312"/>
          <w:sz w:val="32"/>
          <w:szCs w:val="32"/>
          <w:lang w:val="en-US" w:eastAsia="zh-CN"/>
        </w:rPr>
      </w:pPr>
      <w:r>
        <w:rPr>
          <w:rFonts w:hint="default" w:ascii="仿宋_GB2312" w:hAnsi="黑体" w:eastAsia="仿宋_GB2312"/>
          <w:sz w:val="32"/>
          <w:szCs w:val="32"/>
          <w:lang w:val="en-US" w:eastAsia="zh-CN"/>
        </w:rPr>
        <w:t>两房及装备更新维护</w:t>
      </w:r>
      <w:r>
        <w:rPr>
          <w:rFonts w:hint="eastAsia" w:ascii="仿宋_GB2312" w:hAnsi="黑体" w:eastAsia="仿宋_GB2312"/>
          <w:sz w:val="32"/>
          <w:szCs w:val="32"/>
          <w:lang w:val="en-US" w:eastAsia="zh-CN"/>
        </w:rPr>
        <w:t>项目，预算安排20万元，主要用于检察院日常外墙、地板的维护、补漏、防水、防雷设施的维护、部分办公室的装修和维护、门窗和设施等更换等维修，办公区的有效使用率90%以上。更新和购置办案设备，加快智能辅助办案建设。绩效目标两房维修资金使用率为80%</w:t>
      </w:r>
    </w:p>
    <w:p>
      <w:pPr>
        <w:numPr>
          <w:ilvl w:val="0"/>
          <w:numId w:val="6"/>
        </w:numPr>
        <w:ind w:firstLine="640" w:firstLineChars="200"/>
        <w:rPr>
          <w:rFonts w:hint="default" w:ascii="仿宋_GB2312" w:hAnsi="黑体" w:eastAsia="仿宋_GB2312"/>
          <w:sz w:val="32"/>
          <w:szCs w:val="32"/>
          <w:lang w:val="en-US" w:eastAsia="zh-CN"/>
        </w:rPr>
      </w:pPr>
      <w:r>
        <w:rPr>
          <w:rFonts w:hint="default" w:ascii="仿宋_GB2312" w:hAnsi="黑体" w:eastAsia="仿宋_GB2312"/>
          <w:sz w:val="32"/>
          <w:szCs w:val="32"/>
          <w:lang w:val="en-US" w:eastAsia="zh-CN"/>
        </w:rPr>
        <w:t>行政运行</w:t>
      </w:r>
      <w:r>
        <w:rPr>
          <w:rFonts w:hint="eastAsia" w:ascii="仿宋_GB2312" w:hAnsi="黑体" w:eastAsia="仿宋_GB2312"/>
          <w:sz w:val="32"/>
          <w:szCs w:val="32"/>
          <w:lang w:val="en-US" w:eastAsia="zh-CN"/>
        </w:rPr>
        <w:t>项目，预算安排60万元。主要用于保障单位日常运转，提高预算编制质量，严格执行预算。绩效目标2022年10月项目资金支出达到90%。</w:t>
      </w:r>
    </w:p>
    <w:p>
      <w:pPr>
        <w:jc w:val="both"/>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b w:val="0"/>
          <w:bCs/>
          <w:sz w:val="32"/>
          <w:szCs w:val="32"/>
        </w:rPr>
      </w:pPr>
      <w:r>
        <w:rPr>
          <w:rFonts w:hint="eastAsia" w:ascii="黑体" w:hAnsi="黑体" w:eastAsia="黑体"/>
          <w:b w:val="0"/>
          <w:bCs/>
          <w:sz w:val="32"/>
          <w:szCs w:val="32"/>
        </w:rPr>
        <w:t>第四部分  名词解</w:t>
      </w:r>
      <w:bookmarkStart w:id="0" w:name="_GoBack"/>
      <w:bookmarkEnd w:id="0"/>
      <w:r>
        <w:rPr>
          <w:rFonts w:hint="eastAsia" w:ascii="黑体" w:hAnsi="黑体" w:eastAsia="黑体"/>
          <w:b w:val="0"/>
          <w:bCs/>
          <w:sz w:val="32"/>
          <w:szCs w:val="32"/>
        </w:rPr>
        <w:t>释</w:t>
      </w:r>
    </w:p>
    <w:p>
      <w:pPr>
        <w:jc w:val="left"/>
        <w:rPr>
          <w:rFonts w:hint="eastAsia" w:ascii="仿宋_GB2312" w:hAnsi="宋体" w:eastAsia="仿宋_GB2312" w:cs="宋体"/>
          <w:color w:val="000000"/>
          <w:kern w:val="0"/>
          <w:sz w:val="32"/>
          <w:szCs w:val="32"/>
          <w:lang w:eastAsia="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widowControl/>
        <w:suppressLineNumbers w:val="0"/>
        <w:ind w:firstLine="640" w:firstLineChars="200"/>
        <w:jc w:val="left"/>
      </w:pPr>
      <w:r>
        <w:rPr>
          <w:rFonts w:hint="eastAsia" w:ascii="仿宋_GB2312" w:hAnsi="宋体" w:eastAsia="仿宋_GB2312" w:cs="宋体"/>
          <w:color w:val="000000"/>
          <w:kern w:val="0"/>
          <w:sz w:val="32"/>
          <w:szCs w:val="30"/>
          <w:lang w:eastAsia="zh-CN"/>
        </w:rPr>
        <w:t>十五、</w:t>
      </w:r>
      <w:r>
        <w:rPr>
          <w:rFonts w:hint="eastAsia" w:ascii="仿宋_GB2312" w:hAnsi="宋体" w:eastAsia="仿宋_GB2312" w:cs="宋体"/>
          <w:color w:val="000000"/>
          <w:kern w:val="0"/>
          <w:sz w:val="32"/>
          <w:szCs w:val="30"/>
        </w:rPr>
        <w:t>公共安全</w:t>
      </w:r>
      <w:r>
        <w:rPr>
          <w:rFonts w:hint="eastAsia" w:ascii="仿宋_GB2312" w:hAnsi="宋体" w:eastAsia="仿宋_GB2312" w:cs="宋体"/>
          <w:color w:val="000000"/>
          <w:kern w:val="0"/>
          <w:sz w:val="32"/>
          <w:szCs w:val="30"/>
          <w:lang w:eastAsia="zh-CN"/>
        </w:rPr>
        <w:t>支出</w:t>
      </w:r>
      <w:r>
        <w:rPr>
          <w:rFonts w:hint="eastAsia" w:ascii="仿宋_GB2312" w:hAnsi="宋体" w:eastAsia="仿宋_GB2312" w:cs="宋体"/>
          <w:color w:val="000000"/>
          <w:kern w:val="0"/>
          <w:sz w:val="32"/>
          <w:szCs w:val="30"/>
        </w:rPr>
        <w:t>（类）检察（款）</w:t>
      </w:r>
      <w:r>
        <w:rPr>
          <w:rFonts w:hint="eastAsia" w:ascii="仿宋_GB2312" w:hAnsi="宋体" w:eastAsia="仿宋_GB2312" w:cs="宋体"/>
          <w:color w:val="000000"/>
          <w:kern w:val="0"/>
          <w:sz w:val="32"/>
          <w:szCs w:val="30"/>
          <w:lang w:val="en-US" w:eastAsia="zh-CN"/>
        </w:rPr>
        <w:t>行政运行（项）</w:t>
      </w:r>
      <w:r>
        <w:rPr>
          <w:rFonts w:hint="eastAsia" w:ascii="仿宋_GB2312" w:hAnsi="宋体" w:eastAsia="仿宋_GB2312" w:cs="宋体"/>
          <w:color w:val="000000"/>
          <w:kern w:val="0"/>
          <w:sz w:val="32"/>
          <w:szCs w:val="30"/>
        </w:rPr>
        <w:t>：</w:t>
      </w:r>
      <w:r>
        <w:rPr>
          <w:rFonts w:ascii="仿宋_GB2312" w:hAnsi="仿宋_GB2312" w:eastAsia="仿宋_GB2312" w:cs="仿宋_GB2312"/>
          <w:color w:val="000000"/>
          <w:kern w:val="0"/>
          <w:sz w:val="31"/>
          <w:szCs w:val="31"/>
          <w:lang w:val="en-US" w:eastAsia="zh-CN" w:bidi="ar"/>
        </w:rPr>
        <w:t>用于保障机构正常运行、开展日常工作的基本支出</w:t>
      </w:r>
      <w:r>
        <w:rPr>
          <w:rFonts w:hint="eastAsia" w:ascii="仿宋_GB2312" w:hAnsi="仿宋_GB2312" w:eastAsia="仿宋_GB2312" w:cs="仿宋_GB2312"/>
          <w:color w:val="000000"/>
          <w:kern w:val="0"/>
          <w:sz w:val="31"/>
          <w:szCs w:val="31"/>
          <w:lang w:val="en-US" w:eastAsia="zh-CN" w:bidi="ar"/>
        </w:rPr>
        <w:t>。</w:t>
      </w:r>
    </w:p>
    <w:p>
      <w:pPr>
        <w:widowControl/>
        <w:spacing w:line="560" w:lineRule="exact"/>
        <w:ind w:firstLine="640" w:firstLineChars="200"/>
        <w:rPr>
          <w:rFonts w:hint="eastAsia" w:ascii="仿宋_GB2312" w:hAnsi="宋体" w:eastAsia="仿宋_GB2312" w:cs="宋体"/>
          <w:color w:val="000000"/>
          <w:kern w:val="0"/>
          <w:sz w:val="32"/>
          <w:szCs w:val="30"/>
          <w:lang w:val="zh-CN" w:eastAsia="zh-CN"/>
        </w:rPr>
      </w:pPr>
      <w:r>
        <w:rPr>
          <w:rFonts w:hint="eastAsia" w:ascii="仿宋_GB2312" w:hAnsi="宋体" w:eastAsia="仿宋_GB2312" w:cs="宋体"/>
          <w:color w:val="000000"/>
          <w:kern w:val="0"/>
          <w:sz w:val="32"/>
          <w:szCs w:val="30"/>
          <w:lang w:val="zh-CN" w:eastAsia="zh-CN"/>
        </w:rPr>
        <w:t>十六、公共安全支出（类）检察（款）检察监督（项）：指履行法律监督职能的项目支出。</w:t>
      </w:r>
    </w:p>
    <w:p>
      <w:pPr>
        <w:keepNext w:val="0"/>
        <w:keepLines w:val="0"/>
        <w:widowControl/>
        <w:suppressLineNumbers w:val="0"/>
        <w:ind w:firstLine="640" w:firstLineChars="200"/>
        <w:jc w:val="left"/>
      </w:pPr>
      <w:r>
        <w:rPr>
          <w:rFonts w:hint="eastAsia" w:ascii="仿宋_GB2312" w:hAnsi="宋体" w:eastAsia="仿宋_GB2312" w:cs="宋体"/>
          <w:color w:val="000000"/>
          <w:kern w:val="0"/>
          <w:sz w:val="32"/>
          <w:szCs w:val="30"/>
          <w:lang w:val="en-US" w:eastAsia="zh-CN"/>
        </w:rPr>
        <w:t>十七、</w:t>
      </w:r>
      <w:r>
        <w:rPr>
          <w:rFonts w:hint="eastAsia" w:ascii="仿宋_GB2312" w:hAnsi="宋体" w:eastAsia="仿宋_GB2312" w:cs="宋体"/>
          <w:color w:val="000000"/>
          <w:kern w:val="0"/>
          <w:sz w:val="32"/>
          <w:szCs w:val="30"/>
          <w:lang w:val="zh-CN" w:eastAsia="zh-CN"/>
        </w:rPr>
        <w:t>公共安全支出（类）检察（款）</w:t>
      </w:r>
      <w:r>
        <w:rPr>
          <w:rFonts w:hint="eastAsia" w:ascii="仿宋_GB2312" w:hAnsi="宋体" w:eastAsia="仿宋_GB2312" w:cs="宋体"/>
          <w:color w:val="000000"/>
          <w:kern w:val="0"/>
          <w:sz w:val="32"/>
          <w:szCs w:val="30"/>
          <w:lang w:val="en-US" w:eastAsia="zh-CN"/>
        </w:rPr>
        <w:t>其他检察支出（项）：</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指除上述项目以外的开展其他检察事务方面专门性工作任务的项目支出。</w:t>
      </w:r>
    </w:p>
    <w:p>
      <w:pPr>
        <w:widowControl/>
        <w:spacing w:line="560" w:lineRule="exact"/>
        <w:ind w:firstLine="640" w:firstLineChars="200"/>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lang w:val="zh-CN"/>
        </w:rPr>
        <w:t>十八、社会保障和就业支出（类）</w:t>
      </w:r>
      <w:r>
        <w:rPr>
          <w:rFonts w:hint="eastAsia" w:ascii="仿宋" w:hAnsi="仿宋" w:eastAsia="仿宋" w:cs="仿宋"/>
          <w:sz w:val="32"/>
          <w:szCs w:val="32"/>
          <w:lang w:bidi="ar"/>
        </w:rPr>
        <w:t>行政事业单位</w:t>
      </w:r>
      <w:r>
        <w:rPr>
          <w:rFonts w:hint="eastAsia" w:ascii="仿宋" w:hAnsi="仿宋" w:eastAsia="仿宋" w:cs="仿宋"/>
          <w:sz w:val="32"/>
          <w:szCs w:val="32"/>
          <w:lang w:eastAsia="zh-CN" w:bidi="ar"/>
        </w:rPr>
        <w:t>养老支出</w:t>
      </w:r>
      <w:r>
        <w:rPr>
          <w:rFonts w:hint="eastAsia" w:ascii="仿宋_GB2312" w:hAnsi="宋体" w:eastAsia="仿宋_GB2312" w:cs="宋体"/>
          <w:color w:val="000000"/>
          <w:kern w:val="0"/>
          <w:sz w:val="32"/>
          <w:szCs w:val="30"/>
          <w:lang w:val="zh-CN"/>
        </w:rPr>
        <w:t>（款）机关事业单位基本养老保险缴费支出（项）：指用于机关事业单位养老保险费支出。</w:t>
      </w:r>
    </w:p>
    <w:p>
      <w:pPr>
        <w:ind w:firstLine="640" w:firstLineChars="200"/>
        <w:jc w:val="left"/>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lang w:val="zh-CN"/>
        </w:rPr>
        <w:t>十九、社会保障和就业支出（类）抚恤（款）其他优抚支出（项）：指用于优抚对象抚恤</w:t>
      </w:r>
      <w:r>
        <w:rPr>
          <w:rFonts w:hint="eastAsia" w:ascii="仿宋_GB2312" w:hAnsi="宋体" w:eastAsia="仿宋_GB2312" w:cs="宋体"/>
          <w:color w:val="000000"/>
          <w:kern w:val="0"/>
          <w:sz w:val="32"/>
          <w:szCs w:val="30"/>
          <w:lang w:val="zh-CN" w:eastAsia="zh-CN"/>
        </w:rPr>
        <w:t>金</w:t>
      </w:r>
      <w:r>
        <w:rPr>
          <w:rFonts w:hint="eastAsia" w:ascii="仿宋_GB2312" w:hAnsi="宋体" w:eastAsia="仿宋_GB2312" w:cs="宋体"/>
          <w:color w:val="000000"/>
          <w:kern w:val="0"/>
          <w:sz w:val="32"/>
          <w:szCs w:val="30"/>
          <w:lang w:val="zh-CN"/>
        </w:rPr>
        <w:t>的支出。</w:t>
      </w:r>
    </w:p>
    <w:p>
      <w:pPr>
        <w:ind w:firstLine="640" w:firstLineChars="200"/>
        <w:jc w:val="left"/>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lang w:val="zh-CN"/>
        </w:rPr>
        <w:t>二十、卫生健康支出（类）行政事业单位医疗（款）行政单位医疗（项）：指用于行政单位医疗缴费支出。</w:t>
      </w:r>
    </w:p>
    <w:p>
      <w:pPr>
        <w:ind w:firstLine="640" w:firstLineChars="200"/>
        <w:jc w:val="left"/>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lang w:val="zh-CN"/>
        </w:rPr>
        <w:t>二十一、卫生健康支出（类）行政事业单位医疗（款）公务员医疗补助（项）：指用于公务员医疗补助支出。</w:t>
      </w:r>
    </w:p>
    <w:p>
      <w:pPr>
        <w:ind w:firstLine="640" w:firstLineChars="200"/>
        <w:jc w:val="left"/>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lang w:val="zh-CN"/>
        </w:rPr>
        <w:t>二十二、住房保障支出（类）住房改革支出（款）住房公积金（项）：指用于在职职工住房公积金缴费支出。</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p>
      <w:pPr>
        <w:ind w:firstLine="640" w:firstLineChars="200"/>
        <w:rPr>
          <w:rFonts w:ascii="仿宋_GB2312" w:hAnsi="黑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50689"/>
    <w:multiLevelType w:val="singleLevel"/>
    <w:tmpl w:val="99A50689"/>
    <w:lvl w:ilvl="0" w:tentative="0">
      <w:start w:val="5"/>
      <w:numFmt w:val="chineseCounting"/>
      <w:suff w:val="nothing"/>
      <w:lvlText w:val="%1、"/>
      <w:lvlJc w:val="left"/>
      <w:rPr>
        <w:rFonts w:hint="eastAsia"/>
      </w:rPr>
    </w:lvl>
  </w:abstractNum>
  <w:abstractNum w:abstractNumId="1">
    <w:nsid w:val="D656ABDD"/>
    <w:multiLevelType w:val="singleLevel"/>
    <w:tmpl w:val="D656ABDD"/>
    <w:lvl w:ilvl="0" w:tentative="0">
      <w:start w:val="1"/>
      <w:numFmt w:val="decimal"/>
      <w:lvlText w:val="%1."/>
      <w:lvlJc w:val="left"/>
      <w:pPr>
        <w:tabs>
          <w:tab w:val="left" w:pos="312"/>
        </w:tabs>
      </w:p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3A3E85B"/>
    <w:multiLevelType w:val="singleLevel"/>
    <w:tmpl w:val="53A3E85B"/>
    <w:lvl w:ilvl="0" w:tentative="0">
      <w:start w:val="1"/>
      <w:numFmt w:val="chineseCounting"/>
      <w:suff w:val="nothing"/>
      <w:lvlText w:val="%1、"/>
      <w:lvlJc w:val="left"/>
      <w:rPr>
        <w:rFonts w:hint="eastAsia"/>
      </w:r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MwMDFiZjZhMGM2Y2FmNjNlZGQyNjI2ZTgyYTQ4OGMifQ=="/>
  </w:docVars>
  <w:rsids>
    <w:rsidRoot w:val="00F91B44"/>
    <w:rsid w:val="00003088"/>
    <w:rsid w:val="00075A39"/>
    <w:rsid w:val="000B08D0"/>
    <w:rsid w:val="0013021A"/>
    <w:rsid w:val="001326C1"/>
    <w:rsid w:val="00173B57"/>
    <w:rsid w:val="00183894"/>
    <w:rsid w:val="001E78DB"/>
    <w:rsid w:val="002530AD"/>
    <w:rsid w:val="002729A7"/>
    <w:rsid w:val="00285DE5"/>
    <w:rsid w:val="00293316"/>
    <w:rsid w:val="002956BC"/>
    <w:rsid w:val="002A59FA"/>
    <w:rsid w:val="002B0ADF"/>
    <w:rsid w:val="002E73B0"/>
    <w:rsid w:val="00321827"/>
    <w:rsid w:val="00336398"/>
    <w:rsid w:val="0036456D"/>
    <w:rsid w:val="003847B6"/>
    <w:rsid w:val="004522A5"/>
    <w:rsid w:val="00474F12"/>
    <w:rsid w:val="0048444F"/>
    <w:rsid w:val="00484AB2"/>
    <w:rsid w:val="00525863"/>
    <w:rsid w:val="00581D7B"/>
    <w:rsid w:val="0059423F"/>
    <w:rsid w:val="005C4CF0"/>
    <w:rsid w:val="005F78BD"/>
    <w:rsid w:val="00610FB9"/>
    <w:rsid w:val="00640059"/>
    <w:rsid w:val="006575CD"/>
    <w:rsid w:val="00670067"/>
    <w:rsid w:val="006871F7"/>
    <w:rsid w:val="00690769"/>
    <w:rsid w:val="006B1FB3"/>
    <w:rsid w:val="00745210"/>
    <w:rsid w:val="0075151D"/>
    <w:rsid w:val="007652FD"/>
    <w:rsid w:val="00767BFA"/>
    <w:rsid w:val="00786240"/>
    <w:rsid w:val="007905C9"/>
    <w:rsid w:val="00793A7F"/>
    <w:rsid w:val="007B3322"/>
    <w:rsid w:val="007E4EAF"/>
    <w:rsid w:val="007F1EA5"/>
    <w:rsid w:val="00810B32"/>
    <w:rsid w:val="00816A87"/>
    <w:rsid w:val="00864A16"/>
    <w:rsid w:val="008A6B53"/>
    <w:rsid w:val="008C1502"/>
    <w:rsid w:val="00914809"/>
    <w:rsid w:val="009262C2"/>
    <w:rsid w:val="00926751"/>
    <w:rsid w:val="00947538"/>
    <w:rsid w:val="0096266B"/>
    <w:rsid w:val="00995DA5"/>
    <w:rsid w:val="009F52FB"/>
    <w:rsid w:val="00A17EC5"/>
    <w:rsid w:val="00A324AA"/>
    <w:rsid w:val="00A545A0"/>
    <w:rsid w:val="00A94D59"/>
    <w:rsid w:val="00AE1D69"/>
    <w:rsid w:val="00AE4D39"/>
    <w:rsid w:val="00C22B8B"/>
    <w:rsid w:val="00C745BA"/>
    <w:rsid w:val="00C82DCE"/>
    <w:rsid w:val="00C91D51"/>
    <w:rsid w:val="00CA7DBE"/>
    <w:rsid w:val="00CD7757"/>
    <w:rsid w:val="00D11314"/>
    <w:rsid w:val="00DC4726"/>
    <w:rsid w:val="00DC65EF"/>
    <w:rsid w:val="00DD3FD8"/>
    <w:rsid w:val="00E27401"/>
    <w:rsid w:val="00E3389C"/>
    <w:rsid w:val="00EB13B5"/>
    <w:rsid w:val="00ED50D0"/>
    <w:rsid w:val="00ED6580"/>
    <w:rsid w:val="00EE30DB"/>
    <w:rsid w:val="00F25292"/>
    <w:rsid w:val="00F36978"/>
    <w:rsid w:val="00F83E2B"/>
    <w:rsid w:val="00F91B44"/>
    <w:rsid w:val="00FB0A31"/>
    <w:rsid w:val="01013100"/>
    <w:rsid w:val="0121554B"/>
    <w:rsid w:val="014365FC"/>
    <w:rsid w:val="01F21918"/>
    <w:rsid w:val="02386666"/>
    <w:rsid w:val="03C53530"/>
    <w:rsid w:val="04DF38B5"/>
    <w:rsid w:val="05471825"/>
    <w:rsid w:val="059E15CC"/>
    <w:rsid w:val="07EE5EC6"/>
    <w:rsid w:val="080000F0"/>
    <w:rsid w:val="08441BAB"/>
    <w:rsid w:val="09396360"/>
    <w:rsid w:val="09A833D5"/>
    <w:rsid w:val="0AF541EE"/>
    <w:rsid w:val="0CAC6524"/>
    <w:rsid w:val="0D552F0E"/>
    <w:rsid w:val="0DBB55E3"/>
    <w:rsid w:val="0EFD628B"/>
    <w:rsid w:val="10C65807"/>
    <w:rsid w:val="10F338EF"/>
    <w:rsid w:val="11DF3563"/>
    <w:rsid w:val="13403BEE"/>
    <w:rsid w:val="144D0FCB"/>
    <w:rsid w:val="14BD2DF7"/>
    <w:rsid w:val="15142459"/>
    <w:rsid w:val="152A0F75"/>
    <w:rsid w:val="159B4E44"/>
    <w:rsid w:val="165B657A"/>
    <w:rsid w:val="16F34E8D"/>
    <w:rsid w:val="181C1A6A"/>
    <w:rsid w:val="18804E38"/>
    <w:rsid w:val="191B2315"/>
    <w:rsid w:val="19E43DD4"/>
    <w:rsid w:val="1A225BA1"/>
    <w:rsid w:val="1A3B63F2"/>
    <w:rsid w:val="1A6E0288"/>
    <w:rsid w:val="1A7326E8"/>
    <w:rsid w:val="1AC06816"/>
    <w:rsid w:val="1AC52FE0"/>
    <w:rsid w:val="1BC8248D"/>
    <w:rsid w:val="1BF97E5C"/>
    <w:rsid w:val="1C48296D"/>
    <w:rsid w:val="1C5E47D4"/>
    <w:rsid w:val="1E1F4F2F"/>
    <w:rsid w:val="1F1C2AED"/>
    <w:rsid w:val="1F250868"/>
    <w:rsid w:val="1F316A04"/>
    <w:rsid w:val="1F767F83"/>
    <w:rsid w:val="1F8452C0"/>
    <w:rsid w:val="1FB63493"/>
    <w:rsid w:val="203402F9"/>
    <w:rsid w:val="21317348"/>
    <w:rsid w:val="22DE7E13"/>
    <w:rsid w:val="23D44CF0"/>
    <w:rsid w:val="245B16C3"/>
    <w:rsid w:val="24A646B2"/>
    <w:rsid w:val="254B5A0B"/>
    <w:rsid w:val="25A7692B"/>
    <w:rsid w:val="26202AAF"/>
    <w:rsid w:val="26593742"/>
    <w:rsid w:val="277E764A"/>
    <w:rsid w:val="278913FE"/>
    <w:rsid w:val="27B841E6"/>
    <w:rsid w:val="28074137"/>
    <w:rsid w:val="281C0E72"/>
    <w:rsid w:val="28AE1850"/>
    <w:rsid w:val="297D5BCA"/>
    <w:rsid w:val="29C712D7"/>
    <w:rsid w:val="2A9A4FA2"/>
    <w:rsid w:val="2C56637A"/>
    <w:rsid w:val="2ECD3338"/>
    <w:rsid w:val="2EDC56CC"/>
    <w:rsid w:val="2F2C145A"/>
    <w:rsid w:val="2F2C20B7"/>
    <w:rsid w:val="2F7E46A0"/>
    <w:rsid w:val="2FEA55E3"/>
    <w:rsid w:val="30172902"/>
    <w:rsid w:val="30AC63CD"/>
    <w:rsid w:val="31D24CF0"/>
    <w:rsid w:val="323334C8"/>
    <w:rsid w:val="324A001D"/>
    <w:rsid w:val="32865C9C"/>
    <w:rsid w:val="32D86EC5"/>
    <w:rsid w:val="334F6E74"/>
    <w:rsid w:val="33AB561B"/>
    <w:rsid w:val="33BC489A"/>
    <w:rsid w:val="34671592"/>
    <w:rsid w:val="351835BE"/>
    <w:rsid w:val="356A12DC"/>
    <w:rsid w:val="362A30C9"/>
    <w:rsid w:val="37177C13"/>
    <w:rsid w:val="38F1619D"/>
    <w:rsid w:val="392B0893"/>
    <w:rsid w:val="392B63C6"/>
    <w:rsid w:val="39D87B2D"/>
    <w:rsid w:val="3BA364C5"/>
    <w:rsid w:val="3C075009"/>
    <w:rsid w:val="3C283CB9"/>
    <w:rsid w:val="3C87306A"/>
    <w:rsid w:val="3C977429"/>
    <w:rsid w:val="3D8103F3"/>
    <w:rsid w:val="3F645262"/>
    <w:rsid w:val="3FED271A"/>
    <w:rsid w:val="3FEE695B"/>
    <w:rsid w:val="40001578"/>
    <w:rsid w:val="409D007F"/>
    <w:rsid w:val="41511EC0"/>
    <w:rsid w:val="415355A4"/>
    <w:rsid w:val="421D30FB"/>
    <w:rsid w:val="4239459D"/>
    <w:rsid w:val="43C539FD"/>
    <w:rsid w:val="4406248A"/>
    <w:rsid w:val="4467571F"/>
    <w:rsid w:val="45140E46"/>
    <w:rsid w:val="452A4B90"/>
    <w:rsid w:val="45350D09"/>
    <w:rsid w:val="45B46168"/>
    <w:rsid w:val="45F017D0"/>
    <w:rsid w:val="465E363B"/>
    <w:rsid w:val="47751B23"/>
    <w:rsid w:val="47D13618"/>
    <w:rsid w:val="486E4DB9"/>
    <w:rsid w:val="48A912F2"/>
    <w:rsid w:val="48FD3330"/>
    <w:rsid w:val="492D7A66"/>
    <w:rsid w:val="4A213C09"/>
    <w:rsid w:val="4ABA4F36"/>
    <w:rsid w:val="4ACE7725"/>
    <w:rsid w:val="4B863936"/>
    <w:rsid w:val="4BB63E5A"/>
    <w:rsid w:val="4C4F678A"/>
    <w:rsid w:val="4C7F4EED"/>
    <w:rsid w:val="4CC738C3"/>
    <w:rsid w:val="4DD32F35"/>
    <w:rsid w:val="4E6422EE"/>
    <w:rsid w:val="4EBA1152"/>
    <w:rsid w:val="4F803473"/>
    <w:rsid w:val="4F8C2D7D"/>
    <w:rsid w:val="4FFF0BF9"/>
    <w:rsid w:val="50B73EFA"/>
    <w:rsid w:val="50EA1B90"/>
    <w:rsid w:val="52120938"/>
    <w:rsid w:val="52742F08"/>
    <w:rsid w:val="527F4E07"/>
    <w:rsid w:val="52AA456F"/>
    <w:rsid w:val="5360493A"/>
    <w:rsid w:val="53E65C51"/>
    <w:rsid w:val="546C2112"/>
    <w:rsid w:val="55805C66"/>
    <w:rsid w:val="562E51BC"/>
    <w:rsid w:val="56504DCE"/>
    <w:rsid w:val="57C04CBC"/>
    <w:rsid w:val="583A6CDA"/>
    <w:rsid w:val="58A81BB5"/>
    <w:rsid w:val="59483782"/>
    <w:rsid w:val="59D302E9"/>
    <w:rsid w:val="59EB5460"/>
    <w:rsid w:val="5A264608"/>
    <w:rsid w:val="5B3B6728"/>
    <w:rsid w:val="5C403CAF"/>
    <w:rsid w:val="5D950C37"/>
    <w:rsid w:val="60261E87"/>
    <w:rsid w:val="60567162"/>
    <w:rsid w:val="615A0C51"/>
    <w:rsid w:val="62123B66"/>
    <w:rsid w:val="627A6220"/>
    <w:rsid w:val="638C20A2"/>
    <w:rsid w:val="68204F8C"/>
    <w:rsid w:val="6A231928"/>
    <w:rsid w:val="6AA063AD"/>
    <w:rsid w:val="6ACF3BE8"/>
    <w:rsid w:val="6B446D80"/>
    <w:rsid w:val="6BC66387"/>
    <w:rsid w:val="6C796DDB"/>
    <w:rsid w:val="6CBD1497"/>
    <w:rsid w:val="6CBF152E"/>
    <w:rsid w:val="6D7A4F64"/>
    <w:rsid w:val="6FA23816"/>
    <w:rsid w:val="6FBF47A1"/>
    <w:rsid w:val="70E363D1"/>
    <w:rsid w:val="7110131F"/>
    <w:rsid w:val="71585A3D"/>
    <w:rsid w:val="71EF3BFB"/>
    <w:rsid w:val="72771A4C"/>
    <w:rsid w:val="744530D2"/>
    <w:rsid w:val="7646247B"/>
    <w:rsid w:val="766E036B"/>
    <w:rsid w:val="77076F26"/>
    <w:rsid w:val="78114515"/>
    <w:rsid w:val="787D6156"/>
    <w:rsid w:val="78AC335F"/>
    <w:rsid w:val="7BE30247"/>
    <w:rsid w:val="7C9A7CA5"/>
    <w:rsid w:val="7D3839AF"/>
    <w:rsid w:val="7DA37CA0"/>
    <w:rsid w:val="7DA46088"/>
    <w:rsid w:val="7DBC0043"/>
    <w:rsid w:val="7E496C5C"/>
    <w:rsid w:val="7F197E82"/>
    <w:rsid w:val="7F7707F9"/>
    <w:rsid w:val="7FA33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7">
    <w:name w:val="List Paragraph"/>
    <w:basedOn w:val="1"/>
    <w:qFormat/>
    <w:uiPriority w:val="34"/>
    <w:pPr>
      <w:ind w:firstLine="420" w:firstLineChars="200"/>
    </w:p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5208</Words>
  <Characters>5698</Characters>
  <Lines>26</Lines>
  <Paragraphs>7</Paragraphs>
  <TotalTime>16</TotalTime>
  <ScaleCrop>false</ScaleCrop>
  <LinksUpToDate>false</LinksUpToDate>
  <CharactersWithSpaces>5725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2017-03-01T03:02:00Z</dcterms:created>
  <dc:creator>null,null,总收发</dc:creator>
  <cp:lastModifiedBy>Administrator</cp:lastModifiedBy>
  <cp:lastPrinted>2022-02-14T04:28:00Z</cp:lastPrinted>
  <dcterms:modified xsi:type="dcterms:W3CDTF">2023-07-05T08:54:59Z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1D284713D68C4651BE3C4F4660018095_12</vt:lpwstr>
  </property>
</Properties>
</file>