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ˎ̥" w:eastAsia="黑体" w:cs="黑体"/>
          <w:sz w:val="44"/>
          <w:szCs w:val="44"/>
        </w:rPr>
      </w:pPr>
      <w:r>
        <w:rPr>
          <w:rFonts w:hint="eastAsia" w:ascii="黑体" w:hAnsi="ˎ̥" w:eastAsia="黑体" w:cs="黑体"/>
          <w:sz w:val="44"/>
          <w:szCs w:val="44"/>
        </w:rPr>
        <w:t>昌江黎族自治县人民检察院</w:t>
      </w:r>
    </w:p>
    <w:p>
      <w:pPr>
        <w:jc w:val="center"/>
        <w:rPr>
          <w:rFonts w:ascii="黑体" w:hAnsi="ˎ̥" w:eastAsia="黑体" w:cs="黑体"/>
          <w:sz w:val="44"/>
          <w:szCs w:val="44"/>
        </w:rPr>
      </w:pPr>
      <w:r>
        <w:rPr>
          <w:rFonts w:hint="eastAsia" w:ascii="黑体" w:hAnsi="ˎ̥" w:eastAsia="黑体" w:cs="黑体"/>
          <w:sz w:val="44"/>
          <w:szCs w:val="44"/>
        </w:rPr>
        <w:t>2020年度部门决算</w:t>
      </w:r>
    </w:p>
    <w:p>
      <w:pPr>
        <w:jc w:val="center"/>
        <w:rPr>
          <w:rFonts w:ascii="黑体" w:hAnsi="ˎ̥" w:eastAsia="黑体" w:cs="黑体"/>
          <w:b/>
          <w:sz w:val="32"/>
          <w:szCs w:val="32"/>
        </w:rPr>
      </w:pPr>
    </w:p>
    <w:p>
      <w:pPr>
        <w:jc w:val="center"/>
        <w:rPr>
          <w:rFonts w:ascii="黑体" w:hAnsi="宋体" w:eastAsia="黑体" w:cs="黑体"/>
          <w:sz w:val="44"/>
          <w:szCs w:val="44"/>
        </w:rPr>
      </w:pPr>
      <w:bookmarkStart w:id="0" w:name="_Toc11440_WPSOffice_Type2"/>
      <w:r>
        <w:rPr>
          <w:rFonts w:hint="eastAsia" w:ascii="黑体" w:hAnsi="宋体" w:eastAsia="黑体" w:cs="黑体"/>
          <w:sz w:val="44"/>
          <w:szCs w:val="44"/>
        </w:rPr>
        <w:t>目  录</w:t>
      </w:r>
    </w:p>
    <w:p>
      <w:pPr>
        <w:pStyle w:val="7"/>
        <w:tabs>
          <w:tab w:val="right" w:leader="dot" w:pos="8306"/>
        </w:tabs>
        <w:rPr>
          <w:sz w:val="32"/>
          <w:szCs w:val="32"/>
        </w:rPr>
      </w:pPr>
      <w:r>
        <w:fldChar w:fldCharType="begin"/>
      </w:r>
      <w:r>
        <w:instrText xml:space="preserve"> HYPERLINK "file:///C:\\Documents%20and%20Settings\\Administrator\\桌面\\昌江黎族自治县人民检察院2019年决算公开报告.docx" \l "_Toc1704_WPSOffice_Level1" </w:instrText>
      </w:r>
      <w:r>
        <w:fldChar w:fldCharType="separate"/>
      </w:r>
      <w:r>
        <w:rPr>
          <w:rStyle w:val="4"/>
          <w:rFonts w:hint="eastAsia" w:ascii="黑体" w:hAnsi="ˎ̥" w:eastAsia="黑体" w:cs="黑体"/>
          <w:color w:val="auto"/>
          <w:sz w:val="32"/>
          <w:szCs w:val="32"/>
          <w:u w:val="none"/>
        </w:rPr>
        <w:t>第一部分昌江黎族自治县人民检察院部门概况</w:t>
      </w:r>
      <w:r>
        <w:rPr>
          <w:rStyle w:val="4"/>
          <w:color w:val="auto"/>
          <w:sz w:val="32"/>
          <w:szCs w:val="32"/>
          <w:u w:val="none"/>
        </w:rPr>
        <w:tab/>
      </w:r>
      <w:r>
        <w:rPr>
          <w:rStyle w:val="4"/>
          <w:color w:val="auto"/>
          <w:sz w:val="32"/>
          <w:szCs w:val="32"/>
          <w:u w:val="none"/>
        </w:rPr>
        <w:t>3</w:t>
      </w:r>
      <w:r>
        <w:rPr>
          <w:rStyle w:val="4"/>
          <w:color w:val="auto"/>
          <w:sz w:val="32"/>
          <w:szCs w:val="32"/>
          <w:u w:val="none"/>
        </w:rPr>
        <w:fldChar w:fldCharType="end"/>
      </w:r>
    </w:p>
    <w:p>
      <w:pPr>
        <w:pStyle w:val="6"/>
        <w:tabs>
          <w:tab w:val="right" w:leader="dot" w:pos="8306"/>
        </w:tabs>
        <w:ind w:leftChars="0"/>
        <w:rPr>
          <w:rFonts w:ascii="仿宋_GB2312" w:hAnsi="仿宋_GB2312" w:eastAsia="仿宋_GB2312" w:cs="仿宋_GB2312"/>
          <w:sz w:val="32"/>
          <w:szCs w:val="32"/>
        </w:rPr>
      </w:pPr>
      <w:r>
        <w:fldChar w:fldCharType="begin"/>
      </w:r>
      <w:r>
        <w:instrText xml:space="preserve"> HYPERLINK "file:///C:\\Documents%20and%20Settings\\Administrator\\桌面\\昌江黎族自治县人民检察院2019年决算公开报告.docx" \l "_Toc20274_WPSOffice_Level2" </w:instrText>
      </w:r>
      <w:r>
        <w:fldChar w:fldCharType="separate"/>
      </w:r>
      <w:r>
        <w:rPr>
          <w:rStyle w:val="4"/>
          <w:rFonts w:hint="eastAsia" w:ascii="仿宋_GB2312" w:hAnsi="仿宋_GB2312" w:eastAsia="仿宋_GB2312" w:cs="仿宋_GB2312"/>
          <w:color w:val="auto"/>
          <w:sz w:val="32"/>
          <w:szCs w:val="32"/>
          <w:u w:val="none"/>
        </w:rPr>
        <w:t>一、部门职责</w:t>
      </w:r>
      <w:r>
        <w:rPr>
          <w:rStyle w:val="4"/>
          <w:rFonts w:hint="eastAsia" w:ascii="仿宋_GB2312" w:hAnsi="仿宋_GB2312" w:eastAsia="仿宋_GB2312" w:cs="仿宋_GB2312"/>
          <w:color w:val="auto"/>
          <w:sz w:val="32"/>
          <w:szCs w:val="32"/>
          <w:u w:val="none"/>
        </w:rPr>
        <w:tab/>
      </w:r>
      <w:r>
        <w:rPr>
          <w:rStyle w:val="4"/>
          <w:rFonts w:hint="eastAsia" w:ascii="仿宋_GB2312" w:hAnsi="仿宋_GB2312" w:eastAsia="仿宋_GB2312" w:cs="仿宋_GB2312"/>
          <w:color w:val="auto"/>
          <w:sz w:val="32"/>
          <w:szCs w:val="32"/>
          <w:u w:val="none"/>
        </w:rPr>
        <w:t>3</w:t>
      </w:r>
      <w:r>
        <w:rPr>
          <w:rStyle w:val="4"/>
          <w:rFonts w:hint="eastAsia" w:ascii="仿宋_GB2312" w:hAnsi="仿宋_GB2312" w:eastAsia="仿宋_GB2312" w:cs="仿宋_GB2312"/>
          <w:color w:val="auto"/>
          <w:sz w:val="32"/>
          <w:szCs w:val="32"/>
          <w:u w:val="none"/>
        </w:rPr>
        <w:fldChar w:fldCharType="end"/>
      </w:r>
    </w:p>
    <w:p>
      <w:pPr>
        <w:pStyle w:val="6"/>
        <w:tabs>
          <w:tab w:val="right" w:leader="dot" w:pos="8306"/>
        </w:tabs>
        <w:ind w:leftChars="0"/>
        <w:rPr>
          <w:rFonts w:ascii="仿宋" w:hAnsi="仿宋" w:eastAsia="仿宋" w:cs="仿宋"/>
          <w:sz w:val="32"/>
          <w:szCs w:val="32"/>
        </w:rPr>
      </w:pPr>
      <w:r>
        <w:fldChar w:fldCharType="begin"/>
      </w:r>
      <w:r>
        <w:instrText xml:space="preserve"> HYPERLINK "file:///C:\\Documents%20and%20Settings\\Administrator\\桌面\\昌江黎族自治县人民检察院2019年决算公开报告.docx" \l "_Toc4833_WPSOffice_Level2" </w:instrText>
      </w:r>
      <w:r>
        <w:fldChar w:fldCharType="separate"/>
      </w:r>
      <w:r>
        <w:rPr>
          <w:rStyle w:val="4"/>
          <w:rFonts w:hint="eastAsia" w:ascii="仿宋_GB2312" w:hAnsi="仿宋_GB2312" w:eastAsia="仿宋_GB2312" w:cs="仿宋_GB2312"/>
          <w:color w:val="auto"/>
          <w:sz w:val="32"/>
          <w:szCs w:val="32"/>
          <w:u w:val="none"/>
        </w:rPr>
        <w:t>二、机构设置</w:t>
      </w:r>
      <w:r>
        <w:rPr>
          <w:rStyle w:val="4"/>
          <w:rFonts w:hint="eastAsia" w:ascii="仿宋_GB2312" w:hAnsi="仿宋_GB2312" w:eastAsia="仿宋_GB2312" w:cs="仿宋_GB2312"/>
          <w:color w:val="auto"/>
          <w:sz w:val="32"/>
          <w:szCs w:val="32"/>
          <w:u w:val="none"/>
        </w:rPr>
        <w:tab/>
      </w:r>
      <w:r>
        <w:rPr>
          <w:rStyle w:val="4"/>
          <w:rFonts w:hint="eastAsia" w:ascii="仿宋_GB2312" w:hAnsi="仿宋_GB2312" w:eastAsia="仿宋_GB2312" w:cs="仿宋_GB2312"/>
          <w:color w:val="auto"/>
          <w:sz w:val="32"/>
          <w:szCs w:val="32"/>
          <w:u w:val="none"/>
        </w:rPr>
        <w:t>5</w:t>
      </w:r>
      <w:r>
        <w:rPr>
          <w:rStyle w:val="4"/>
          <w:rFonts w:hint="eastAsia" w:ascii="仿宋_GB2312" w:hAnsi="仿宋_GB2312" w:eastAsia="仿宋_GB2312" w:cs="仿宋_GB2312"/>
          <w:color w:val="auto"/>
          <w:sz w:val="32"/>
          <w:szCs w:val="32"/>
          <w:u w:val="none"/>
        </w:rPr>
        <w:fldChar w:fldCharType="end"/>
      </w:r>
    </w:p>
    <w:p>
      <w:pPr>
        <w:pStyle w:val="7"/>
        <w:tabs>
          <w:tab w:val="right" w:leader="dot" w:pos="8306"/>
        </w:tabs>
        <w:rPr>
          <w:sz w:val="32"/>
          <w:szCs w:val="32"/>
        </w:rPr>
      </w:pPr>
      <w:r>
        <w:fldChar w:fldCharType="begin"/>
      </w:r>
      <w:r>
        <w:instrText xml:space="preserve"> HYPERLINK "file:///C:\\Documents%20and%20Settings\\Administrator\\桌面\\昌江黎族自治县人民检察院2019年决算公开报告.docx" \l "_Toc28253_WPSOffice_Level1" </w:instrText>
      </w:r>
      <w:r>
        <w:fldChar w:fldCharType="separate"/>
      </w:r>
      <w:r>
        <w:rPr>
          <w:rStyle w:val="4"/>
          <w:rFonts w:hint="eastAsia" w:ascii="黑体" w:hAnsi="ˎ̥" w:eastAsia="黑体" w:cs="黑体"/>
          <w:color w:val="auto"/>
          <w:sz w:val="32"/>
          <w:szCs w:val="32"/>
          <w:u w:val="none"/>
        </w:rPr>
        <w:t>第二部分昌江黎族自治县人民检察院2020年度部门决算公开表</w:t>
      </w:r>
      <w:r>
        <w:rPr>
          <w:rStyle w:val="4"/>
          <w:color w:val="auto"/>
          <w:sz w:val="32"/>
          <w:szCs w:val="32"/>
          <w:u w:val="none"/>
        </w:rPr>
        <w:tab/>
      </w:r>
      <w:r>
        <w:rPr>
          <w:rStyle w:val="4"/>
          <w:color w:val="auto"/>
          <w:sz w:val="32"/>
          <w:szCs w:val="32"/>
          <w:u w:val="none"/>
        </w:rPr>
        <w:t>5</w:t>
      </w:r>
      <w:r>
        <w:rPr>
          <w:rStyle w:val="4"/>
          <w:color w:val="auto"/>
          <w:sz w:val="32"/>
          <w:szCs w:val="32"/>
          <w:u w:val="none"/>
        </w:rPr>
        <w:fldChar w:fldCharType="end"/>
      </w:r>
    </w:p>
    <w:p>
      <w:pPr>
        <w:pStyle w:val="6"/>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_Toc11518_WPSOffice_Level2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一、收入支出决算公开表</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fldChar w:fldCharType="end"/>
      </w:r>
    </w:p>
    <w:p>
      <w:pPr>
        <w:pStyle w:val="6"/>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_Toc28622_WPSOffice_Level2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二、收入决算公开表</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fldChar w:fldCharType="end"/>
      </w:r>
    </w:p>
    <w:p>
      <w:pPr>
        <w:pStyle w:val="6"/>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_Toc5489_WPSOffice_Level2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三、支出决算公开表</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fldChar w:fldCharType="end"/>
      </w:r>
    </w:p>
    <w:p>
      <w:pPr>
        <w:pStyle w:val="6"/>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_Toc23493_WPSOffice_Level2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四、财政拨款收入支出决算公开表</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fldChar w:fldCharType="end"/>
      </w:r>
    </w:p>
    <w:p>
      <w:pPr>
        <w:pStyle w:val="6"/>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_Toc7879_WPSOffice_Level2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五、一般公共预算财政拨款收入支出决算公开表</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fldChar w:fldCharType="end"/>
      </w:r>
    </w:p>
    <w:p>
      <w:pPr>
        <w:pStyle w:val="6"/>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_Toc8373_WPSOffice_Level2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六、一般公共预算财政拨款基本支出决算公开表</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fldChar w:fldCharType="end"/>
      </w:r>
    </w:p>
    <w:p>
      <w:pPr>
        <w:pStyle w:val="6"/>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七、政府性基金预算财政拨款收入支出决算公开表</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fldChar w:fldCharType="end"/>
      </w:r>
    </w:p>
    <w:p>
      <w:pPr>
        <w:pStyle w:val="6"/>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八、国有资本经营预算财政拨款收入支出决算公开表</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fldChar w:fldCharType="end"/>
      </w:r>
    </w:p>
    <w:p>
      <w:pPr>
        <w:pStyle w:val="6"/>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九、一般公共预算财政拨款“三公”经费支出决算公开表</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fldChar w:fldCharType="end"/>
      </w:r>
    </w:p>
    <w:p>
      <w:pPr>
        <w:pStyle w:val="6"/>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十、政府性基金预算财政拨款“三公”经费支出决算公开表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pPr>
        <w:pStyle w:val="6"/>
        <w:tabs>
          <w:tab w:val="right" w:leader="dot" w:pos="8306"/>
        </w:tabs>
        <w:ind w:leftChars="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十一、国有资本经营预算财政拨款“三公”经费支出决算公开表</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fldChar w:fldCharType="end"/>
      </w:r>
    </w:p>
    <w:p>
      <w:pPr>
        <w:pStyle w:val="7"/>
        <w:tabs>
          <w:tab w:val="right" w:leader="dot" w:pos="8306"/>
        </w:tabs>
        <w:rPr>
          <w:sz w:val="32"/>
          <w:szCs w:val="32"/>
        </w:rPr>
      </w:pPr>
      <w:r>
        <w:fldChar w:fldCharType="begin"/>
      </w:r>
      <w:r>
        <w:instrText xml:space="preserve"> HYPERLINK "file:///C:\\Documents%20and%20Settings\\Administrator\\桌面\\昌江黎族自治县人民检察院2019年决算公开报告.docx" \l "_Toc27590_WPSOffice_Level1" </w:instrText>
      </w:r>
      <w:r>
        <w:fldChar w:fldCharType="separate"/>
      </w:r>
      <w:r>
        <w:rPr>
          <w:rStyle w:val="4"/>
          <w:rFonts w:hint="eastAsia" w:ascii="黑体" w:hAnsi="宋体" w:eastAsia="黑体" w:cs="黑体"/>
          <w:color w:val="auto"/>
          <w:sz w:val="32"/>
          <w:szCs w:val="32"/>
          <w:u w:val="none"/>
        </w:rPr>
        <w:t>第三部分</w:t>
      </w:r>
      <w:r>
        <w:rPr>
          <w:rStyle w:val="4"/>
          <w:rFonts w:hint="eastAsia" w:ascii="黑体" w:hAnsi="ˎ̥" w:eastAsia="黑体" w:cs="黑体"/>
          <w:color w:val="auto"/>
          <w:sz w:val="32"/>
          <w:szCs w:val="32"/>
          <w:u w:val="none"/>
        </w:rPr>
        <w:t>昌江黎族自治县人民检察院2020年度部门决算情况说明</w:t>
      </w:r>
      <w:r>
        <w:rPr>
          <w:rStyle w:val="4"/>
          <w:color w:val="auto"/>
          <w:sz w:val="32"/>
          <w:szCs w:val="32"/>
          <w:u w:val="none"/>
        </w:rPr>
        <w:tab/>
      </w:r>
      <w:r>
        <w:rPr>
          <w:rStyle w:val="4"/>
          <w:color w:val="auto"/>
          <w:sz w:val="32"/>
          <w:szCs w:val="32"/>
          <w:u w:val="none"/>
        </w:rPr>
        <w:t>6</w:t>
      </w:r>
      <w:r>
        <w:rPr>
          <w:rStyle w:val="4"/>
          <w:color w:val="auto"/>
          <w:sz w:val="32"/>
          <w:szCs w:val="32"/>
          <w:u w:val="none"/>
        </w:rPr>
        <w:fldChar w:fldCharType="end"/>
      </w:r>
    </w:p>
    <w:p>
      <w:pPr>
        <w:pStyle w:val="6"/>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一、收入支出决算总体情况说明</w:t>
      </w:r>
      <w:r>
        <w:rPr>
          <w:rFonts w:hint="eastAsia" w:ascii="仿宋" w:hAnsi="仿宋" w:eastAsia="仿宋" w:cs="仿宋"/>
          <w:sz w:val="32"/>
          <w:szCs w:val="32"/>
        </w:rPr>
        <w:tab/>
      </w:r>
      <w:r>
        <w:rPr>
          <w:rFonts w:hint="eastAsia" w:ascii="仿宋" w:hAnsi="仿宋" w:eastAsia="仿宋" w:cs="仿宋"/>
          <w:sz w:val="32"/>
          <w:szCs w:val="32"/>
        </w:rPr>
        <w:t>6</w:t>
      </w:r>
      <w:r>
        <w:rPr>
          <w:rFonts w:hint="eastAsia" w:ascii="仿宋" w:hAnsi="仿宋" w:eastAsia="仿宋" w:cs="仿宋"/>
          <w:sz w:val="32"/>
          <w:szCs w:val="32"/>
        </w:rPr>
        <w:fldChar w:fldCharType="end"/>
      </w:r>
    </w:p>
    <w:p>
      <w:pPr>
        <w:pStyle w:val="6"/>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t>7</w:t>
      </w:r>
      <w:r>
        <w:rPr>
          <w:rFonts w:hint="eastAsia" w:ascii="仿宋" w:hAnsi="仿宋" w:eastAsia="仿宋" w:cs="仿宋"/>
          <w:sz w:val="32"/>
          <w:szCs w:val="32"/>
        </w:rPr>
        <w:fldChar w:fldCharType="end"/>
      </w:r>
    </w:p>
    <w:p>
      <w:pPr>
        <w:pStyle w:val="6"/>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t>7</w:t>
      </w:r>
      <w:r>
        <w:rPr>
          <w:rFonts w:hint="eastAsia" w:ascii="仿宋" w:hAnsi="仿宋" w:eastAsia="仿宋" w:cs="仿宋"/>
          <w:sz w:val="32"/>
          <w:szCs w:val="32"/>
        </w:rPr>
        <w:fldChar w:fldCharType="end"/>
      </w:r>
    </w:p>
    <w:p>
      <w:pPr>
        <w:pStyle w:val="6"/>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四、财政拨款收入支出决算情况说明</w:t>
      </w:r>
      <w:r>
        <w:rPr>
          <w:rFonts w:hint="eastAsia" w:ascii="仿宋" w:hAnsi="仿宋" w:eastAsia="仿宋" w:cs="仿宋"/>
          <w:sz w:val="32"/>
          <w:szCs w:val="32"/>
        </w:rPr>
        <w:tab/>
      </w:r>
      <w:r>
        <w:rPr>
          <w:rFonts w:hint="eastAsia" w:ascii="仿宋" w:hAnsi="仿宋" w:eastAsia="仿宋" w:cs="仿宋"/>
          <w:sz w:val="32"/>
          <w:szCs w:val="32"/>
        </w:rPr>
        <w:t>7</w:t>
      </w:r>
      <w:r>
        <w:rPr>
          <w:rFonts w:hint="eastAsia" w:ascii="仿宋" w:hAnsi="仿宋" w:eastAsia="仿宋" w:cs="仿宋"/>
          <w:sz w:val="32"/>
          <w:szCs w:val="32"/>
        </w:rPr>
        <w:fldChar w:fldCharType="end"/>
      </w:r>
    </w:p>
    <w:p>
      <w:pPr>
        <w:pStyle w:val="6"/>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r>
        <w:rPr>
          <w:rFonts w:hint="eastAsia" w:ascii="仿宋" w:hAnsi="仿宋" w:eastAsia="仿宋" w:cs="仿宋"/>
          <w:sz w:val="32"/>
          <w:szCs w:val="32"/>
        </w:rPr>
        <w:fldChar w:fldCharType="end"/>
      </w:r>
    </w:p>
    <w:p>
      <w:pPr>
        <w:pStyle w:val="6"/>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lang w:val="en-US" w:eastAsia="zh-CN"/>
        </w:rPr>
        <w:t>1</w:t>
      </w:r>
    </w:p>
    <w:p>
      <w:pPr>
        <w:pStyle w:val="6"/>
        <w:numPr>
          <w:ilvl w:val="0"/>
          <w:numId w:val="1"/>
        </w:numPr>
        <w:tabs>
          <w:tab w:val="right" w:leader="dot" w:pos="8306"/>
        </w:tabs>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政府性基金预算财政拨款收入支出决算情况说明</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lang w:val="en-US" w:eastAsia="zh-CN"/>
        </w:rPr>
        <w:t>2</w:t>
      </w:r>
    </w:p>
    <w:p>
      <w:pPr>
        <w:pStyle w:val="6"/>
        <w:numPr>
          <w:ilvl w:val="0"/>
          <w:numId w:val="1"/>
        </w:numPr>
        <w:tabs>
          <w:tab w:val="right" w:leader="dot" w:pos="8306"/>
        </w:tabs>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国有资本经营预算财政拨款收入支出决算情况说明</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lang w:val="en-US" w:eastAsia="zh-CN"/>
        </w:rPr>
        <w:t>2</w:t>
      </w:r>
    </w:p>
    <w:p>
      <w:pPr>
        <w:rPr>
          <w:rFonts w:hint="eastAsia" w:ascii="仿宋" w:hAnsi="仿宋" w:eastAsia="仿宋" w:cs="仿宋"/>
          <w:w w:val="98"/>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w:t>
      </w:r>
      <w:r>
        <w:rPr>
          <w:rFonts w:hint="eastAsia" w:ascii="仿宋" w:hAnsi="仿宋" w:eastAsia="仿宋" w:cs="仿宋"/>
          <w:bCs/>
          <w:w w:val="98"/>
          <w:sz w:val="32"/>
          <w:szCs w:val="32"/>
        </w:rPr>
        <w:t>一般公共预算财政拨款“三公”经费支出决算情况说明</w:t>
      </w:r>
    </w:p>
    <w:p>
      <w:pPr>
        <w:pStyle w:val="6"/>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12</w:t>
      </w:r>
    </w:p>
    <w:p>
      <w:pPr>
        <w:rPr>
          <w:rFonts w:hint="eastAsia" w:ascii="仿宋" w:hAnsi="仿宋" w:eastAsia="仿宋" w:cs="仿宋"/>
          <w:w w:val="98"/>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w:t>
      </w:r>
      <w:r>
        <w:rPr>
          <w:rFonts w:hint="eastAsia" w:ascii="仿宋" w:hAnsi="仿宋" w:eastAsia="仿宋" w:cs="仿宋"/>
          <w:bCs/>
          <w:w w:val="98"/>
          <w:sz w:val="32"/>
          <w:szCs w:val="32"/>
        </w:rPr>
        <w:t>政府性基金预算财政拨款“三公”经费支出决算情况说明</w:t>
      </w:r>
    </w:p>
    <w:p>
      <w:pPr>
        <w:pStyle w:val="6"/>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w:t>
      </w:r>
      <w:r>
        <w:rPr>
          <w:rFonts w:hint="eastAsia" w:ascii="仿宋" w:hAnsi="仿宋" w:eastAsia="仿宋" w:cs="仿宋"/>
          <w:sz w:val="32"/>
          <w:szCs w:val="32"/>
          <w:lang w:val="en-US" w:eastAsia="zh-CN"/>
        </w:rPr>
        <w:t>4</w:t>
      </w:r>
    </w:p>
    <w:p>
      <w:pPr>
        <w:rPr>
          <w:rFonts w:hint="eastAsia" w:ascii="仿宋" w:hAnsi="仿宋" w:eastAsia="仿宋" w:cs="仿宋"/>
          <w:w w:val="91"/>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Cs/>
          <w:w w:val="91"/>
          <w:sz w:val="32"/>
          <w:szCs w:val="32"/>
        </w:rPr>
        <w:t>十一、国有资本经营预算财政拨款“三公”经费支出决算情况说明</w:t>
      </w:r>
    </w:p>
    <w:p>
      <w:pPr>
        <w:pStyle w:val="6"/>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w:t>
      </w:r>
      <w:r>
        <w:rPr>
          <w:rFonts w:hint="eastAsia" w:ascii="仿宋" w:hAnsi="仿宋" w:eastAsia="仿宋" w:cs="仿宋"/>
          <w:sz w:val="32"/>
          <w:szCs w:val="32"/>
          <w:lang w:val="en-US" w:eastAsia="zh-CN"/>
        </w:rPr>
        <w:t>4</w:t>
      </w:r>
    </w:p>
    <w:p>
      <w:pPr>
        <w:pStyle w:val="6"/>
        <w:tabs>
          <w:tab w:val="right" w:leader="dot" w:pos="8306"/>
        </w:tabs>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十二、预算绩效情况说明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w:t>
      </w:r>
      <w:r>
        <w:rPr>
          <w:rFonts w:hint="eastAsia" w:ascii="仿宋" w:hAnsi="仿宋" w:eastAsia="仿宋" w:cs="仿宋"/>
          <w:sz w:val="32"/>
          <w:szCs w:val="32"/>
          <w:lang w:val="en-US" w:eastAsia="zh-CN"/>
        </w:rPr>
        <w:t>5</w:t>
      </w:r>
    </w:p>
    <w:p>
      <w:pPr>
        <w:pStyle w:val="6"/>
        <w:tabs>
          <w:tab w:val="right" w:leader="dot" w:pos="8306"/>
        </w:tabs>
        <w:ind w:leftChars="0"/>
        <w:rPr>
          <w:rFonts w:hint="eastAsia" w:ascii="仿宋" w:hAnsi="仿宋" w:eastAsia="仿宋" w:cs="仿宋"/>
          <w:sz w:val="32"/>
          <w:szCs w:val="32"/>
        </w:rPr>
      </w:pPr>
      <w:r>
        <w:rPr>
          <w:rFonts w:hint="eastAsia" w:ascii="仿宋" w:hAnsi="仿宋" w:eastAsia="仿宋" w:cs="仿宋"/>
          <w:bCs/>
          <w:sz w:val="32"/>
          <w:szCs w:val="32"/>
        </w:rPr>
        <w:t>十三、其他重要事项情况说明</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lang w:val="en-US" w:eastAsia="zh-CN"/>
        </w:rPr>
        <w:t>7</w:t>
      </w:r>
    </w:p>
    <w:p>
      <w:pPr>
        <w:pStyle w:val="7"/>
        <w:tabs>
          <w:tab w:val="right" w:leader="dot" w:pos="8306"/>
        </w:tabs>
        <w:rPr>
          <w:rFonts w:ascii="黑体" w:hAnsi="ˎ̥" w:eastAsia="黑体" w:cs="黑体"/>
          <w:sz w:val="32"/>
          <w:szCs w:val="32"/>
        </w:rPr>
      </w:pPr>
      <w:r>
        <w:fldChar w:fldCharType="begin"/>
      </w:r>
      <w:r>
        <w:instrText xml:space="preserve"> HYPERLINK "file:///C:\\Documents%20and%20Settings\\Administrator\\桌面\\昌江黎族自治县人民检察院2019年决算公开报告.docx" \l "_Toc15425_WPSOffice_Level1" </w:instrText>
      </w:r>
      <w:r>
        <w:fldChar w:fldCharType="separate"/>
      </w:r>
      <w:r>
        <w:rPr>
          <w:rStyle w:val="4"/>
          <w:rFonts w:hint="eastAsia" w:ascii="黑体" w:hAnsi="ˎ̥" w:eastAsia="黑体" w:cs="黑体"/>
          <w:color w:val="auto"/>
          <w:sz w:val="32"/>
          <w:szCs w:val="32"/>
          <w:u w:val="none"/>
        </w:rPr>
        <w:t>第四部分名词解释</w:t>
      </w:r>
      <w:r>
        <w:rPr>
          <w:rStyle w:val="4"/>
          <w:color w:val="auto"/>
          <w:sz w:val="32"/>
          <w:szCs w:val="32"/>
          <w:u w:val="none"/>
        </w:rPr>
        <w:tab/>
      </w:r>
      <w:r>
        <w:rPr>
          <w:rStyle w:val="4"/>
          <w:rFonts w:hint="eastAsia"/>
          <w:color w:val="auto"/>
          <w:sz w:val="32"/>
          <w:szCs w:val="32"/>
          <w:u w:val="none"/>
          <w:lang w:val="en-US" w:eastAsia="zh-CN"/>
        </w:rPr>
        <w:t>1</w:t>
      </w:r>
      <w:r>
        <w:rPr>
          <w:rStyle w:val="4"/>
          <w:color w:val="auto"/>
          <w:sz w:val="32"/>
          <w:szCs w:val="32"/>
          <w:u w:val="none"/>
        </w:rPr>
        <w:fldChar w:fldCharType="end"/>
      </w:r>
      <w:bookmarkEnd w:id="0"/>
      <w:r>
        <w:rPr>
          <w:rStyle w:val="4"/>
          <w:rFonts w:hint="eastAsia"/>
          <w:color w:val="auto"/>
          <w:sz w:val="32"/>
          <w:szCs w:val="32"/>
          <w:u w:val="none"/>
          <w:lang w:val="en-US" w:eastAsia="zh-CN"/>
        </w:rPr>
        <w:t>8</w:t>
      </w:r>
      <w:bookmarkStart w:id="1" w:name="_Toc23465_WPSOffice_Level1"/>
      <w:bookmarkStart w:id="2" w:name="_Toc1704_WPSOffice_Level1"/>
      <w:bookmarkStart w:id="3" w:name="_Toc22941_WPSOffice_Level1"/>
      <w:bookmarkStart w:id="4" w:name="_Toc32433_WPSOffice_Level1"/>
      <w:bookmarkStart w:id="5" w:name="_Toc10720_WPSOffice_Level1"/>
      <w:bookmarkStart w:id="6" w:name="_Toc10049_WPSOffice_Level1"/>
      <w:bookmarkStart w:id="7" w:name="_Toc32622_WPSOffice_Level2"/>
      <w:bookmarkStart w:id="8" w:name="_Toc14159_WPSOffice_Level2"/>
      <w:bookmarkStart w:id="9" w:name="_Toc20274_WPSOffice_Level2"/>
      <w:bookmarkStart w:id="10" w:name="_Toc26580_WPSOffice_Level2"/>
      <w:bookmarkStart w:id="11" w:name="_Toc20205_WPSOffice_Level2"/>
      <w:bookmarkStart w:id="12" w:name="_Toc24238_WPSOffice_Level2"/>
    </w:p>
    <w:p>
      <w:pPr>
        <w:jc w:val="center"/>
        <w:rPr>
          <w:rFonts w:ascii="黑体" w:hAnsi="ˎ̥" w:eastAsia="黑体" w:cs="黑体"/>
          <w:sz w:val="32"/>
          <w:szCs w:val="32"/>
        </w:rPr>
      </w:pPr>
    </w:p>
    <w:p>
      <w:pPr>
        <w:jc w:val="center"/>
        <w:rPr>
          <w:rFonts w:ascii="黑体" w:hAnsi="ˎ̥" w:eastAsia="黑体" w:cs="黑体"/>
          <w:sz w:val="32"/>
          <w:szCs w:val="32"/>
        </w:rPr>
      </w:pPr>
      <w:r>
        <w:rPr>
          <w:rFonts w:hint="eastAsia" w:ascii="黑体" w:hAnsi="ˎ̥" w:eastAsia="黑体" w:cs="黑体"/>
          <w:sz w:val="32"/>
          <w:szCs w:val="32"/>
        </w:rPr>
        <w:t>第一部分  昌江黎族自治县人民检察院部门概况</w:t>
      </w:r>
      <w:bookmarkEnd w:id="1"/>
      <w:bookmarkEnd w:id="2"/>
      <w:bookmarkEnd w:id="3"/>
      <w:bookmarkEnd w:id="4"/>
      <w:bookmarkEnd w:id="5"/>
      <w:bookmarkEnd w:id="6"/>
    </w:p>
    <w:p>
      <w:pPr>
        <w:jc w:val="center"/>
        <w:rPr>
          <w:rFonts w:ascii="黑体" w:hAnsi="ˎ̥" w:eastAsia="黑体" w:cs="黑体"/>
          <w:sz w:val="32"/>
          <w:szCs w:val="32"/>
        </w:rPr>
      </w:pPr>
    </w:p>
    <w:bookmarkEnd w:id="7"/>
    <w:bookmarkEnd w:id="8"/>
    <w:bookmarkEnd w:id="9"/>
    <w:bookmarkEnd w:id="10"/>
    <w:bookmarkEnd w:id="11"/>
    <w:bookmarkEnd w:id="12"/>
    <w:p>
      <w:pPr>
        <w:ind w:firstLine="640" w:firstLineChars="200"/>
        <w:rPr>
          <w:rFonts w:ascii="黑体" w:hAnsi="宋体" w:eastAsia="黑体" w:cs="黑体"/>
          <w:sz w:val="32"/>
          <w:szCs w:val="32"/>
        </w:rPr>
      </w:pPr>
      <w:r>
        <w:rPr>
          <w:rFonts w:hint="eastAsia" w:ascii="黑体" w:hAnsi="宋体" w:eastAsia="黑体" w:cs="黑体"/>
          <w:sz w:val="32"/>
          <w:szCs w:val="32"/>
        </w:rPr>
        <w:t>一、部门职责</w:t>
      </w:r>
    </w:p>
    <w:p>
      <w:pPr>
        <w:snapToGrid w:val="0"/>
        <w:spacing w:line="620" w:lineRule="exact"/>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昌江黎族自治县人民检察院是基层检察机关，在县委和上级检察机关的领导下依法履行职责，对昌江黎族自治县人民代表大会及其常务委员会负责并报告工作。昌江黎族自治县人民检察院的主要职责是：</w:t>
      </w:r>
    </w:p>
    <w:p>
      <w:pPr>
        <w:snapToGrid w:val="0"/>
        <w:spacing w:line="620" w:lineRule="exact"/>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一）深入贯彻习近平新时代中国特色社会主义思想，深入贯彻党的路线方针政策和决策部署，统一本院检察干警思想和行动，坚持党对检察工作的绝对领导，坚决维护习近平总书记的核心地位，坚决维护党中央权威和集中统一领导。</w:t>
      </w:r>
    </w:p>
    <w:p>
      <w:pPr>
        <w:snapToGrid w:val="0"/>
        <w:spacing w:line="620" w:lineRule="exact"/>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（二）依法向昌江黎族自治县人民代表大会及其常务委员会提出议案。</w:t>
      </w:r>
    </w:p>
    <w:p>
      <w:pPr>
        <w:snapToGrid w:val="0"/>
        <w:spacing w:line="620" w:lineRule="exact"/>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（三）落实上级检察机关研究制定的工作计划、发展规划，结合本县党委中心工作，制定本院检察工作计划，落实检察工作任务。</w:t>
      </w:r>
    </w:p>
    <w:p>
      <w:pPr>
        <w:snapToGrid w:val="0"/>
        <w:spacing w:line="620" w:lineRule="exact"/>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（四）依照法律规定对本院直接受理的刑事案件和上级检察机关交办的案件行使侦查权。</w:t>
      </w:r>
    </w:p>
    <w:p>
      <w:pPr>
        <w:snapToGrid w:val="0"/>
        <w:spacing w:line="620" w:lineRule="exact"/>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（五）负责对由本院直接办理或上级检察机关交办的刑事案件依法审查批准逮捕、决定逮捕、提起公诉。</w:t>
      </w:r>
    </w:p>
    <w:p>
      <w:pPr>
        <w:snapToGrid w:val="0"/>
        <w:spacing w:line="620" w:lineRule="exact"/>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（六）负责辖区内刑事、民事、行政诉讼活动及刑事、民事、行政判决和裁定等生效法律文书执行的法律监督工作。</w:t>
      </w:r>
    </w:p>
    <w:p>
      <w:pPr>
        <w:snapToGrid w:val="0"/>
        <w:spacing w:line="620" w:lineRule="exact"/>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（七）依法对辖区内人民法院确有错误的判决和裁定提起抗诉或提请抗诉。</w:t>
      </w:r>
    </w:p>
    <w:p>
      <w:pPr>
        <w:snapToGrid w:val="0"/>
        <w:spacing w:line="620" w:lineRule="exact"/>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（八）负责应由本院承办的提起公益诉讼工作。</w:t>
      </w:r>
    </w:p>
    <w:p>
      <w:pPr>
        <w:snapToGrid w:val="0"/>
        <w:spacing w:line="620" w:lineRule="exact"/>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（九）负责辖区内看守所、社区矫正机构等执法活动的法律监督工作。</w:t>
      </w:r>
    </w:p>
    <w:p>
      <w:pPr>
        <w:snapToGrid w:val="0"/>
        <w:spacing w:line="620" w:lineRule="exact"/>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（十）受理向本院提出的控告申诉。</w:t>
      </w:r>
    </w:p>
    <w:p>
      <w:pPr>
        <w:snapToGrid w:val="0"/>
        <w:spacing w:line="620" w:lineRule="exact"/>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（十一）对检察工作中具体应用法律的问题进行调查研究，依程序向立法机关和上级检察机关提出立法以及司法解释建议。</w:t>
      </w:r>
    </w:p>
    <w:p>
      <w:pPr>
        <w:snapToGrid w:val="0"/>
        <w:spacing w:line="620" w:lineRule="exact"/>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（十二）开展检察理论研究工作。</w:t>
      </w:r>
    </w:p>
    <w:p>
      <w:pPr>
        <w:snapToGrid w:val="0"/>
        <w:spacing w:line="620" w:lineRule="exact"/>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（十三）负责本院队伍建设、思想政治工作和意识形态工作。配合省人民检察院，协同省机构编制部门管理本院的机构设置及人员编制，制定本院相关人员管理办法。负责组织开展本院教育培训工作。</w:t>
      </w:r>
    </w:p>
    <w:p>
      <w:pPr>
        <w:snapToGrid w:val="0"/>
        <w:spacing w:line="620" w:lineRule="exact"/>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（十四）协同组织部门依照干部管理权限，对本院检察官进行登记评定和晋升、考核、调配，对本院其他检察人员进行考核、调配、任免。</w:t>
      </w:r>
    </w:p>
    <w:p>
      <w:pPr>
        <w:snapToGrid w:val="0"/>
        <w:spacing w:line="620" w:lineRule="exact"/>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（十五）负责本院的检务督察工作。</w:t>
      </w:r>
    </w:p>
    <w:p>
      <w:pPr>
        <w:snapToGrid w:val="0"/>
        <w:spacing w:line="620" w:lineRule="exact"/>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（十六）负责本院的财务装备管理工作。</w:t>
      </w:r>
    </w:p>
    <w:p>
      <w:pPr>
        <w:snapToGrid w:val="0"/>
        <w:spacing w:line="620" w:lineRule="exact"/>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（十七）完成县委、县人大和上级人民检察院交办的其他工作。</w:t>
      </w:r>
    </w:p>
    <w:p>
      <w:pPr>
        <w:ind w:firstLine="640" w:firstLineChars="200"/>
        <w:rPr>
          <w:rFonts w:ascii="黑体" w:hAnsi="宋体" w:eastAsia="黑体" w:cs="黑体"/>
          <w:sz w:val="32"/>
          <w:szCs w:val="32"/>
        </w:rPr>
      </w:pPr>
    </w:p>
    <w:p>
      <w:pPr>
        <w:ind w:firstLine="640" w:firstLineChars="200"/>
        <w:rPr>
          <w:rFonts w:ascii="黑体" w:hAnsi="宋体" w:eastAsia="黑体" w:cs="黑体"/>
          <w:sz w:val="32"/>
          <w:szCs w:val="32"/>
        </w:rPr>
      </w:pPr>
      <w:r>
        <w:rPr>
          <w:rFonts w:hint="eastAsia" w:ascii="黑体" w:hAnsi="宋体" w:eastAsia="黑体" w:cs="黑体"/>
          <w:sz w:val="32"/>
          <w:szCs w:val="32"/>
        </w:rPr>
        <w:t>二、机构设置</w:t>
      </w:r>
    </w:p>
    <w:p>
      <w:pPr>
        <w:ind w:firstLine="480" w:firstLineChars="150"/>
        <w:outlineLvl w:val="0"/>
        <w:rPr>
          <w:rFonts w:ascii="仿宋_GB2312" w:hAnsi="Arial Unicode MS" w:eastAsia="仿宋_GB2312" w:cs="Arial Unicode MS"/>
          <w:color w:val="000000"/>
          <w:sz w:val="32"/>
          <w:szCs w:val="32"/>
        </w:rPr>
      </w:pPr>
      <w:r>
        <w:rPr>
          <w:rFonts w:hint="eastAsia" w:ascii="仿宋_GB2312" w:hAnsi="Arial Unicode MS" w:eastAsia="仿宋_GB2312" w:cs="Arial Unicode MS"/>
          <w:color w:val="000000"/>
          <w:sz w:val="32"/>
          <w:szCs w:val="32"/>
        </w:rPr>
        <w:t>2020年度昌江</w:t>
      </w:r>
      <w:r>
        <w:rPr>
          <w:rFonts w:hint="eastAsia" w:ascii="仿宋_GB2312" w:hAnsi="ˎ̥" w:eastAsia="仿宋_GB2312" w:cs="仿宋_GB2312"/>
          <w:sz w:val="32"/>
          <w:szCs w:val="32"/>
        </w:rPr>
        <w:t>黎族自治县人民检察院设有</w:t>
      </w:r>
      <w:r>
        <w:rPr>
          <w:rFonts w:hint="eastAsia" w:ascii="仿宋_GB2312" w:hAnsi="Arial Unicode MS" w:eastAsia="仿宋_GB2312" w:cs="Arial Unicode MS"/>
          <w:color w:val="000000"/>
          <w:sz w:val="32"/>
          <w:szCs w:val="32"/>
        </w:rPr>
        <w:t>7个内设机构，包括综合管理部、第一检察部、第二检察部、第三检察部、第四检察部、派驻乌烈检察室和派驻叉河检察室；政法干警编制44人，</w:t>
      </w:r>
      <w:r>
        <w:rPr>
          <w:rFonts w:hint="eastAsia" w:ascii="仿宋_GB2312" w:hAnsi="Arial Unicode MS" w:eastAsia="仿宋_GB2312" w:cs="Arial Unicode MS"/>
          <w:sz w:val="32"/>
          <w:szCs w:val="32"/>
        </w:rPr>
        <w:t>在职人员共41</w:t>
      </w:r>
      <w:r>
        <w:rPr>
          <w:rFonts w:hint="eastAsia" w:ascii="仿宋_GB2312" w:hAnsi="Arial Unicode MS" w:eastAsia="仿宋_GB2312" w:cs="Arial Unicode MS"/>
          <w:color w:val="000000"/>
          <w:sz w:val="32"/>
          <w:szCs w:val="32"/>
        </w:rPr>
        <w:t>人。</w:t>
      </w:r>
    </w:p>
    <w:p>
      <w:pPr>
        <w:spacing w:line="560" w:lineRule="exact"/>
        <w:ind w:firstLine="640" w:firstLineChars="200"/>
        <w:rPr>
          <w:rFonts w:ascii="仿宋" w:hAnsi="仿宋" w:eastAsia="仿宋" w:cs="Times New Roman"/>
          <w:kern w:val="0"/>
          <w:sz w:val="32"/>
          <w:szCs w:val="32"/>
        </w:rPr>
      </w:pPr>
      <w:bookmarkStart w:id="13" w:name="_Toc24421_WPSOffice_Level2"/>
      <w:bookmarkStart w:id="14" w:name="_Toc25738_WPSOffice_Level2"/>
      <w:r>
        <w:rPr>
          <w:rFonts w:hint="eastAsia" w:ascii="仿宋_GB2312" w:hAnsi="ˎ̥" w:eastAsia="仿宋_GB2312" w:cs="仿宋_GB2312"/>
          <w:sz w:val="32"/>
          <w:szCs w:val="32"/>
        </w:rPr>
        <w:t>现</w:t>
      </w:r>
      <w:r>
        <w:rPr>
          <w:rFonts w:hint="eastAsia" w:ascii="仿宋_GB2312" w:hAnsi="仿宋" w:eastAsia="仿宋_GB2312" w:cs="Times New Roman"/>
          <w:kern w:val="0"/>
          <w:sz w:val="32"/>
          <w:szCs w:val="32"/>
          <w:lang w:val="zh-CN"/>
        </w:rPr>
        <w:t>昌江黎族自治县人民检察院</w:t>
      </w:r>
      <w:r>
        <w:rPr>
          <w:rFonts w:hint="eastAsia" w:ascii="仿宋_GB2312" w:hAnsi="仿宋" w:eastAsia="仿宋_GB2312" w:cs="Times New Roman"/>
          <w:kern w:val="0"/>
          <w:sz w:val="32"/>
          <w:szCs w:val="32"/>
        </w:rPr>
        <w:t>2020年部门预算编制范围只有部门本级1家预算单位。</w:t>
      </w:r>
    </w:p>
    <w:p>
      <w:pPr>
        <w:shd w:val="clear" w:color="auto" w:fill="FFFFFF"/>
        <w:ind w:firstLine="640" w:firstLineChars="200"/>
        <w:rPr>
          <w:rFonts w:ascii="仿宋_GB2312" w:hAnsi="ˎ̥" w:eastAsia="仿宋_GB2312" w:cs="仿宋_GB2312"/>
          <w:sz w:val="32"/>
          <w:szCs w:val="32"/>
          <w:shd w:val="clear" w:color="auto" w:fill="FFFFFF"/>
        </w:rPr>
      </w:pPr>
    </w:p>
    <w:bookmarkEnd w:id="13"/>
    <w:bookmarkEnd w:id="14"/>
    <w:p>
      <w:pPr>
        <w:rPr>
          <w:rFonts w:ascii="黑体" w:hAnsi="ˎ̥" w:eastAsia="黑体" w:cs="黑体"/>
          <w:sz w:val="32"/>
          <w:szCs w:val="32"/>
        </w:rPr>
      </w:pPr>
      <w:bookmarkStart w:id="15" w:name="_Toc30451_WPSOffice_Level1"/>
      <w:bookmarkStart w:id="16" w:name="_Toc15521_WPSOffice_Level1"/>
      <w:bookmarkStart w:id="17" w:name="_Toc8164_WPSOffice_Level1"/>
      <w:bookmarkStart w:id="18" w:name="_Toc28253_WPSOffice_Level1"/>
      <w:bookmarkStart w:id="19" w:name="_Toc6234_WPSOffice_Level1"/>
      <w:bookmarkStart w:id="20" w:name="_Toc30690_WPSOffice_Level1"/>
      <w:bookmarkStart w:id="21" w:name="_Toc11518_WPSOffice_Level2"/>
      <w:bookmarkStart w:id="22" w:name="_Toc32695_WPSOffice_Level2"/>
      <w:bookmarkStart w:id="23" w:name="_Toc32472_WPSOffice_Level2"/>
      <w:bookmarkStart w:id="24" w:name="_Toc8867_WPSOffice_Level2"/>
      <w:bookmarkStart w:id="25" w:name="_Toc4029_WPSOffice_Level2"/>
      <w:bookmarkStart w:id="26" w:name="_Toc6211_WPSOffice_Level2"/>
      <w:r>
        <w:rPr>
          <w:rFonts w:hint="eastAsia" w:ascii="黑体" w:hAnsi="ˎ̥" w:eastAsia="黑体" w:cs="黑体"/>
          <w:sz w:val="32"/>
          <w:szCs w:val="32"/>
        </w:rPr>
        <w:t>第二部分  昌江黎族自治县人民检察院2020年度部门决算公开报表</w:t>
      </w:r>
      <w:bookmarkEnd w:id="15"/>
      <w:bookmarkEnd w:id="16"/>
      <w:bookmarkEnd w:id="17"/>
      <w:bookmarkEnd w:id="18"/>
      <w:bookmarkEnd w:id="19"/>
      <w:bookmarkEnd w:id="20"/>
    </w:p>
    <w:p>
      <w:pPr>
        <w:jc w:val="center"/>
        <w:rPr>
          <w:rFonts w:ascii="黑体" w:hAnsi="ˎ̥" w:eastAsia="黑体" w:cs="黑体"/>
          <w:sz w:val="32"/>
          <w:szCs w:val="32"/>
        </w:rPr>
      </w:pPr>
    </w:p>
    <w:bookmarkEnd w:id="21"/>
    <w:bookmarkEnd w:id="22"/>
    <w:bookmarkEnd w:id="23"/>
    <w:bookmarkEnd w:id="24"/>
    <w:bookmarkEnd w:id="25"/>
    <w:bookmarkEnd w:id="26"/>
    <w:p>
      <w:pPr>
        <w:ind w:firstLine="645"/>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收入支出决算</w:t>
      </w:r>
      <w:r>
        <w:rPr>
          <w:rFonts w:hint="eastAsia" w:ascii="黑体" w:hAnsi="黑体" w:eastAsia="黑体" w:cs="黑体"/>
          <w:sz w:val="32"/>
          <w:szCs w:val="32"/>
          <w:lang w:eastAsia="zh-CN"/>
        </w:rPr>
        <w:t>公开表（见正文附件）。</w:t>
      </w:r>
    </w:p>
    <w:p>
      <w:pPr>
        <w:ind w:firstLine="645"/>
        <w:rPr>
          <w:rFonts w:hint="eastAsia" w:ascii="黑体" w:hAnsi="黑体" w:eastAsia="黑体" w:cs="黑体"/>
          <w:sz w:val="32"/>
          <w:szCs w:val="32"/>
          <w:lang w:eastAsia="zh-CN"/>
        </w:rPr>
      </w:pPr>
      <w:bookmarkStart w:id="27" w:name="_Toc26621_WPSOffice_Level2"/>
      <w:bookmarkStart w:id="28" w:name="_Toc23139_WPSOffice_Level2"/>
      <w:bookmarkStart w:id="29" w:name="_Toc25608_WPSOffice_Level2"/>
      <w:bookmarkStart w:id="30" w:name="_Toc14349_WPSOffice_Level2"/>
      <w:bookmarkStart w:id="31" w:name="_Toc30334_WPSOffice_Level2"/>
      <w:bookmarkStart w:id="32" w:name="_Toc28622_WPSOffice_Level2"/>
      <w:r>
        <w:rPr>
          <w:rFonts w:hint="eastAsia" w:ascii="黑体" w:hAnsi="黑体" w:eastAsia="黑体" w:cs="黑体"/>
          <w:sz w:val="32"/>
          <w:szCs w:val="32"/>
          <w:lang w:val="en-US" w:eastAsia="zh-CN"/>
        </w:rPr>
        <w:t>二、</w:t>
      </w:r>
      <w:r>
        <w:rPr>
          <w:rFonts w:hint="eastAsia" w:ascii="黑体" w:hAnsi="黑体" w:eastAsia="黑体" w:cs="黑体"/>
          <w:sz w:val="32"/>
          <w:szCs w:val="32"/>
        </w:rPr>
        <w:t>收入决算</w:t>
      </w:r>
      <w:r>
        <w:rPr>
          <w:rFonts w:hint="eastAsia" w:ascii="黑体" w:hAnsi="黑体" w:eastAsia="黑体" w:cs="黑体"/>
          <w:sz w:val="32"/>
          <w:szCs w:val="32"/>
          <w:lang w:eastAsia="zh-CN"/>
        </w:rPr>
        <w:t>公开表（见正文附件）</w:t>
      </w:r>
      <w:bookmarkEnd w:id="27"/>
      <w:bookmarkEnd w:id="28"/>
      <w:bookmarkEnd w:id="29"/>
      <w:r>
        <w:rPr>
          <w:rFonts w:hint="eastAsia" w:ascii="黑体" w:hAnsi="黑体" w:eastAsia="黑体" w:cs="黑体"/>
          <w:sz w:val="32"/>
          <w:szCs w:val="32"/>
          <w:lang w:eastAsia="zh-CN"/>
        </w:rPr>
        <w:t>。</w:t>
      </w:r>
      <w:bookmarkEnd w:id="30"/>
      <w:bookmarkEnd w:id="31"/>
      <w:bookmarkEnd w:id="32"/>
    </w:p>
    <w:p>
      <w:pPr>
        <w:ind w:firstLine="645"/>
        <w:rPr>
          <w:rFonts w:hint="eastAsia" w:ascii="黑体" w:hAnsi="黑体" w:eastAsia="黑体" w:cs="黑体"/>
          <w:sz w:val="32"/>
          <w:szCs w:val="32"/>
          <w:lang w:eastAsia="zh-CN"/>
        </w:rPr>
      </w:pPr>
      <w:bookmarkStart w:id="33" w:name="_Toc17858_WPSOffice_Level2"/>
      <w:bookmarkStart w:id="34" w:name="_Toc3262_WPSOffice_Level2"/>
      <w:bookmarkStart w:id="35" w:name="_Toc17626_WPSOffice_Level2"/>
      <w:bookmarkStart w:id="36" w:name="_Toc5489_WPSOffice_Level2"/>
      <w:bookmarkStart w:id="37" w:name="_Toc14658_WPSOffice_Level2"/>
      <w:bookmarkStart w:id="38" w:name="_Toc13854_WPSOffice_Level2"/>
      <w:r>
        <w:rPr>
          <w:rFonts w:hint="eastAsia" w:ascii="黑体" w:hAnsi="黑体" w:eastAsia="黑体" w:cs="黑体"/>
          <w:sz w:val="32"/>
          <w:szCs w:val="32"/>
          <w:lang w:val="en-US" w:eastAsia="zh-CN"/>
        </w:rPr>
        <w:t>三、</w:t>
      </w:r>
      <w:r>
        <w:rPr>
          <w:rFonts w:hint="eastAsia" w:ascii="黑体" w:hAnsi="黑体" w:eastAsia="黑体" w:cs="黑体"/>
          <w:sz w:val="32"/>
          <w:szCs w:val="32"/>
        </w:rPr>
        <w:t>支出决算</w:t>
      </w:r>
      <w:r>
        <w:rPr>
          <w:rFonts w:hint="eastAsia" w:ascii="黑体" w:hAnsi="黑体" w:eastAsia="黑体" w:cs="黑体"/>
          <w:sz w:val="32"/>
          <w:szCs w:val="32"/>
          <w:lang w:eastAsia="zh-CN"/>
        </w:rPr>
        <w:t>公开表（见正文附件）</w:t>
      </w:r>
      <w:bookmarkEnd w:id="33"/>
      <w:bookmarkEnd w:id="34"/>
      <w:bookmarkEnd w:id="35"/>
      <w:r>
        <w:rPr>
          <w:rFonts w:hint="eastAsia" w:ascii="黑体" w:hAnsi="黑体" w:eastAsia="黑体" w:cs="黑体"/>
          <w:sz w:val="32"/>
          <w:szCs w:val="32"/>
          <w:lang w:eastAsia="zh-CN"/>
        </w:rPr>
        <w:t>。</w:t>
      </w:r>
      <w:bookmarkEnd w:id="36"/>
      <w:bookmarkEnd w:id="37"/>
      <w:bookmarkEnd w:id="38"/>
    </w:p>
    <w:p>
      <w:pPr>
        <w:ind w:firstLine="645"/>
        <w:rPr>
          <w:rFonts w:hint="eastAsia" w:ascii="黑体" w:hAnsi="黑体" w:eastAsia="黑体" w:cs="黑体"/>
          <w:sz w:val="32"/>
          <w:szCs w:val="32"/>
          <w:lang w:eastAsia="zh-CN"/>
        </w:rPr>
      </w:pPr>
      <w:bookmarkStart w:id="39" w:name="_Toc23591_WPSOffice_Level2"/>
      <w:bookmarkStart w:id="40" w:name="_Toc21415_WPSOffice_Level2"/>
      <w:bookmarkStart w:id="41" w:name="_Toc13701_WPSOffice_Level2"/>
      <w:bookmarkStart w:id="42" w:name="_Toc23493_WPSOffice_Level2"/>
      <w:bookmarkStart w:id="43" w:name="_Toc4265_WPSOffice_Level2"/>
      <w:bookmarkStart w:id="44" w:name="_Toc7988_WPSOffice_Level2"/>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黑体" w:hAnsi="黑体" w:eastAsia="黑体" w:cs="黑体"/>
          <w:sz w:val="32"/>
          <w:szCs w:val="32"/>
        </w:rPr>
        <w:t>财政拨款收入支出决算</w:t>
      </w:r>
      <w:r>
        <w:rPr>
          <w:rFonts w:hint="eastAsia" w:ascii="黑体" w:hAnsi="黑体" w:eastAsia="黑体" w:cs="黑体"/>
          <w:sz w:val="32"/>
          <w:szCs w:val="32"/>
          <w:lang w:eastAsia="zh-CN"/>
        </w:rPr>
        <w:t>公开表（见正文附件）</w:t>
      </w:r>
      <w:bookmarkEnd w:id="39"/>
      <w:bookmarkEnd w:id="40"/>
      <w:bookmarkEnd w:id="41"/>
      <w:r>
        <w:rPr>
          <w:rFonts w:hint="eastAsia" w:ascii="黑体" w:hAnsi="黑体" w:eastAsia="黑体" w:cs="黑体"/>
          <w:sz w:val="32"/>
          <w:szCs w:val="32"/>
          <w:lang w:eastAsia="zh-CN"/>
        </w:rPr>
        <w:t>。</w:t>
      </w:r>
      <w:bookmarkEnd w:id="42"/>
      <w:bookmarkEnd w:id="43"/>
      <w:bookmarkEnd w:id="44"/>
    </w:p>
    <w:p>
      <w:pPr>
        <w:ind w:firstLine="645"/>
        <w:rPr>
          <w:rFonts w:hint="eastAsia" w:ascii="黑体" w:hAnsi="黑体" w:eastAsia="黑体" w:cs="黑体"/>
          <w:sz w:val="32"/>
          <w:szCs w:val="32"/>
          <w:lang w:eastAsia="zh-CN"/>
        </w:rPr>
      </w:pPr>
      <w:bookmarkStart w:id="45" w:name="_Toc7879_WPSOffice_Level2"/>
      <w:bookmarkStart w:id="46" w:name="_Toc23829_WPSOffice_Level2"/>
      <w:bookmarkStart w:id="47" w:name="_Toc22783_WPSOffice_Level2"/>
      <w:bookmarkStart w:id="48" w:name="_Toc25166_WPSOffice_Level2"/>
      <w:bookmarkStart w:id="49" w:name="_Toc13516_WPSOffice_Level2"/>
      <w:bookmarkStart w:id="50" w:name="_Toc2158_WPSOffice_Level2"/>
      <w:r>
        <w:rPr>
          <w:rFonts w:hint="eastAsia" w:ascii="黑体" w:hAnsi="黑体" w:eastAsia="黑体" w:cs="黑体"/>
          <w:sz w:val="32"/>
          <w:szCs w:val="32"/>
          <w:lang w:val="en-US" w:eastAsia="zh-CN"/>
        </w:rPr>
        <w:t>五、</w:t>
      </w:r>
      <w:r>
        <w:rPr>
          <w:rFonts w:hint="eastAsia" w:ascii="黑体" w:hAnsi="黑体" w:eastAsia="黑体" w:cs="黑体"/>
          <w:sz w:val="32"/>
          <w:szCs w:val="32"/>
        </w:rPr>
        <w:t>一般公共预算财政拨款收入支出决算</w:t>
      </w:r>
      <w:bookmarkEnd w:id="45"/>
      <w:bookmarkEnd w:id="46"/>
      <w:bookmarkEnd w:id="47"/>
      <w:bookmarkEnd w:id="48"/>
      <w:r>
        <w:rPr>
          <w:rFonts w:hint="eastAsia" w:ascii="黑体" w:hAnsi="黑体" w:eastAsia="黑体" w:cs="黑体"/>
          <w:sz w:val="32"/>
          <w:szCs w:val="32"/>
          <w:lang w:eastAsia="zh-CN"/>
        </w:rPr>
        <w:t>公开表</w:t>
      </w:r>
    </w:p>
    <w:p>
      <w:pPr>
        <w:ind w:firstLine="1302" w:firstLineChars="407"/>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bookmarkEnd w:id="49"/>
      <w:bookmarkEnd w:id="50"/>
      <w:r>
        <w:rPr>
          <w:rFonts w:hint="eastAsia" w:ascii="黑体" w:hAnsi="黑体" w:eastAsia="黑体" w:cs="黑体"/>
          <w:sz w:val="32"/>
          <w:szCs w:val="32"/>
          <w:lang w:eastAsia="zh-CN"/>
        </w:rPr>
        <w:t>。</w:t>
      </w:r>
    </w:p>
    <w:p>
      <w:pPr>
        <w:ind w:firstLine="645"/>
        <w:rPr>
          <w:rFonts w:hint="eastAsia" w:ascii="黑体" w:hAnsi="黑体" w:eastAsia="黑体" w:cs="黑体"/>
          <w:sz w:val="32"/>
          <w:szCs w:val="32"/>
        </w:rPr>
      </w:pPr>
      <w:bookmarkStart w:id="51" w:name="_Toc8373_WPSOffice_Level2"/>
      <w:bookmarkStart w:id="52" w:name="_Toc5343_WPSOffice_Level2"/>
      <w:bookmarkStart w:id="53" w:name="_Toc17833_WPSOffice_Level2"/>
      <w:bookmarkStart w:id="54" w:name="_Toc17283_WPSOffice_Level2"/>
      <w:bookmarkStart w:id="55" w:name="_Toc25362_WPSOffice_Level2"/>
      <w:bookmarkStart w:id="56" w:name="_Toc2632_WPSOffice_Level2"/>
      <w:r>
        <w:rPr>
          <w:rFonts w:hint="eastAsia" w:ascii="黑体" w:hAnsi="黑体" w:eastAsia="黑体" w:cs="黑体"/>
          <w:sz w:val="32"/>
          <w:szCs w:val="32"/>
          <w:lang w:val="en-US" w:eastAsia="zh-CN"/>
        </w:rPr>
        <w:t>六、</w:t>
      </w:r>
      <w:r>
        <w:rPr>
          <w:rFonts w:hint="eastAsia" w:ascii="黑体" w:hAnsi="黑体" w:eastAsia="黑体" w:cs="黑体"/>
          <w:sz w:val="32"/>
          <w:szCs w:val="32"/>
        </w:rPr>
        <w:t>一般公共预算财政拨款基本支出决算</w:t>
      </w:r>
      <w:bookmarkEnd w:id="51"/>
      <w:bookmarkEnd w:id="52"/>
      <w:bookmarkEnd w:id="53"/>
      <w:bookmarkEnd w:id="54"/>
      <w:bookmarkEnd w:id="55"/>
      <w:bookmarkEnd w:id="56"/>
      <w:r>
        <w:rPr>
          <w:rFonts w:hint="eastAsia" w:ascii="黑体" w:hAnsi="黑体" w:eastAsia="黑体" w:cs="黑体"/>
          <w:sz w:val="32"/>
          <w:szCs w:val="32"/>
          <w:lang w:eastAsia="zh-CN"/>
        </w:rPr>
        <w:t>公开表</w:t>
      </w:r>
    </w:p>
    <w:p>
      <w:pPr>
        <w:ind w:firstLine="1280" w:firstLineChars="40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pPr>
        <w:ind w:left="1118" w:leftChars="304" w:hanging="480" w:hangingChars="150"/>
        <w:rPr>
          <w:rFonts w:hint="eastAsia" w:ascii="黑体" w:hAnsi="黑体" w:eastAsia="黑体" w:cs="黑体"/>
          <w:sz w:val="32"/>
          <w:szCs w:val="32"/>
        </w:rPr>
      </w:pPr>
      <w:bookmarkStart w:id="57" w:name="_Toc21310_WPSOffice_Level2"/>
      <w:bookmarkStart w:id="58" w:name="_Toc6020_WPSOffice_Level2"/>
      <w:bookmarkStart w:id="59" w:name="_Toc1533_WPSOffice_Level2"/>
      <w:bookmarkStart w:id="60" w:name="_Toc5594_WPSOffice_Level2"/>
      <w:bookmarkStart w:id="61" w:name="_Toc11799_WPSOffice_Level2"/>
      <w:bookmarkStart w:id="62" w:name="_Toc13345_WPSOffice_Level2"/>
      <w:r>
        <w:rPr>
          <w:rFonts w:hint="eastAsia" w:ascii="黑体" w:hAnsi="黑体" w:eastAsia="黑体" w:cs="黑体"/>
          <w:sz w:val="32"/>
          <w:szCs w:val="32"/>
          <w:lang w:val="en-US" w:eastAsia="zh-CN"/>
        </w:rPr>
        <w:t>七、</w:t>
      </w:r>
      <w:r>
        <w:rPr>
          <w:rFonts w:hint="eastAsia" w:ascii="黑体" w:hAnsi="黑体" w:eastAsia="黑体" w:cs="黑体"/>
          <w:sz w:val="32"/>
          <w:szCs w:val="32"/>
        </w:rPr>
        <w:t>政府性基金预算财政拨款收入支出决算</w:t>
      </w:r>
      <w:bookmarkEnd w:id="57"/>
      <w:bookmarkEnd w:id="58"/>
      <w:bookmarkEnd w:id="59"/>
      <w:bookmarkEnd w:id="60"/>
      <w:bookmarkEnd w:id="61"/>
      <w:bookmarkEnd w:id="62"/>
      <w:r>
        <w:rPr>
          <w:rFonts w:hint="eastAsia" w:ascii="黑体" w:hAnsi="黑体" w:eastAsia="黑体" w:cs="黑体"/>
          <w:sz w:val="32"/>
          <w:szCs w:val="32"/>
          <w:lang w:eastAsia="zh-CN"/>
        </w:rPr>
        <w:t>公开表</w:t>
      </w:r>
    </w:p>
    <w:p>
      <w:pPr>
        <w:ind w:left="1277" w:leftChars="608" w:firstLine="160" w:firstLineChars="5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pPr>
        <w:ind w:left="1118" w:leftChars="304" w:hanging="480" w:hangingChars="150"/>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国有资本经营</w:t>
      </w:r>
      <w:r>
        <w:rPr>
          <w:rFonts w:hint="eastAsia" w:ascii="黑体" w:hAnsi="黑体" w:eastAsia="黑体" w:cs="黑体"/>
          <w:sz w:val="32"/>
          <w:szCs w:val="32"/>
        </w:rPr>
        <w:t>预算财政拨款收入支出决算</w:t>
      </w:r>
      <w:r>
        <w:rPr>
          <w:rFonts w:hint="eastAsia" w:ascii="黑体" w:hAnsi="黑体" w:eastAsia="黑体" w:cs="黑体"/>
          <w:sz w:val="32"/>
          <w:szCs w:val="32"/>
          <w:lang w:eastAsia="zh-CN"/>
        </w:rPr>
        <w:t>公开表</w:t>
      </w:r>
    </w:p>
    <w:p>
      <w:pPr>
        <w:ind w:left="1277" w:leftChars="608" w:firstLine="160" w:firstLineChars="5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pPr>
        <w:numPr>
          <w:ilvl w:val="0"/>
          <w:numId w:val="0"/>
        </w:numPr>
        <w:rPr>
          <w:rFonts w:hint="eastAsia" w:ascii="黑体" w:hAnsi="黑体" w:eastAsia="黑体" w:cs="黑体"/>
          <w:sz w:val="32"/>
          <w:szCs w:val="32"/>
        </w:rPr>
      </w:pPr>
      <w:bookmarkStart w:id="63" w:name="_Toc9377_WPSOffice_Level2"/>
      <w:bookmarkStart w:id="64" w:name="_Toc19961_WPSOffice_Level2"/>
      <w:bookmarkStart w:id="65" w:name="_Toc1820_WPSOffice_Level2"/>
      <w:bookmarkStart w:id="66" w:name="_Toc29886_WPSOffice_Level2"/>
      <w:r>
        <w:rPr>
          <w:rFonts w:hint="eastAsia" w:ascii="黑体" w:hAnsi="黑体" w:eastAsia="黑体" w:cs="黑体"/>
          <w:sz w:val="32"/>
          <w:szCs w:val="32"/>
          <w:lang w:val="en-US" w:eastAsia="zh-CN"/>
        </w:rPr>
        <w:t xml:space="preserve">    九、</w:t>
      </w:r>
      <w:r>
        <w:rPr>
          <w:rFonts w:hint="eastAsia" w:ascii="黑体" w:hAnsi="黑体" w:eastAsia="黑体" w:cs="黑体"/>
          <w:sz w:val="32"/>
          <w:szCs w:val="32"/>
        </w:rPr>
        <w:t>一般公共预算财政拨款“三公”经费支出决算</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bookmarkEnd w:id="63"/>
      <w:bookmarkEnd w:id="64"/>
      <w:bookmarkEnd w:id="65"/>
      <w:bookmarkEnd w:id="66"/>
      <w:r>
        <w:rPr>
          <w:rFonts w:hint="eastAsia" w:ascii="黑体" w:hAnsi="黑体" w:eastAsia="黑体" w:cs="黑体"/>
          <w:sz w:val="32"/>
          <w:szCs w:val="32"/>
          <w:lang w:val="en-US" w:eastAsia="zh-CN"/>
        </w:rPr>
        <w:t>公开表</w:t>
      </w:r>
      <w:r>
        <w:rPr>
          <w:rFonts w:hint="eastAsia" w:ascii="黑体" w:hAnsi="黑体" w:eastAsia="黑体" w:cs="黑体"/>
          <w:sz w:val="32"/>
          <w:szCs w:val="32"/>
          <w:lang w:eastAsia="zh-CN"/>
        </w:rPr>
        <w:t>（见正文附件）。</w:t>
      </w:r>
    </w:p>
    <w:p>
      <w:pPr>
        <w:numPr>
          <w:ilvl w:val="0"/>
          <w:numId w:val="0"/>
        </w:numPr>
        <w:rPr>
          <w:rFonts w:hint="eastAsia" w:ascii="黑体" w:hAnsi="黑体" w:eastAsia="黑体" w:cs="黑体"/>
          <w:w w:val="96"/>
          <w:sz w:val="32"/>
          <w:szCs w:val="32"/>
        </w:rPr>
      </w:pPr>
      <w:r>
        <w:rPr>
          <w:rFonts w:hint="eastAsia" w:ascii="黑体" w:hAnsi="黑体" w:eastAsia="黑体" w:cs="黑体"/>
          <w:w w:val="96"/>
          <w:sz w:val="32"/>
          <w:szCs w:val="32"/>
          <w:lang w:val="en-US" w:eastAsia="zh-CN"/>
        </w:rPr>
        <w:t xml:space="preserve">    十、</w:t>
      </w:r>
      <w:r>
        <w:rPr>
          <w:rFonts w:hint="eastAsia" w:ascii="黑体" w:hAnsi="黑体" w:eastAsia="黑体" w:cs="黑体"/>
          <w:w w:val="96"/>
          <w:sz w:val="32"/>
          <w:szCs w:val="32"/>
          <w:lang w:eastAsia="zh-CN"/>
        </w:rPr>
        <w:t>政府性基金</w:t>
      </w:r>
      <w:r>
        <w:rPr>
          <w:rFonts w:hint="eastAsia" w:ascii="黑体" w:hAnsi="黑体" w:eastAsia="黑体" w:cs="黑体"/>
          <w:w w:val="96"/>
          <w:sz w:val="32"/>
          <w:szCs w:val="32"/>
        </w:rPr>
        <w:t>预算财政拨款“三公”经费支出决算</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w w:val="96"/>
          <w:sz w:val="32"/>
          <w:szCs w:val="32"/>
          <w:lang w:val="en-US" w:eastAsia="zh-CN"/>
        </w:rPr>
        <w:t xml:space="preserve">          </w:t>
      </w:r>
      <w:r>
        <w:rPr>
          <w:rFonts w:hint="eastAsia" w:ascii="黑体" w:hAnsi="黑体" w:eastAsia="黑体" w:cs="黑体"/>
          <w:w w:val="96"/>
          <w:sz w:val="32"/>
          <w:szCs w:val="32"/>
          <w:lang w:eastAsia="zh-CN"/>
        </w:rPr>
        <w:t>公开表</w:t>
      </w:r>
      <w:r>
        <w:rPr>
          <w:rFonts w:hint="eastAsia" w:ascii="黑体" w:hAnsi="黑体" w:eastAsia="黑体" w:cs="黑体"/>
          <w:sz w:val="32"/>
          <w:szCs w:val="32"/>
          <w:lang w:eastAsia="zh-CN"/>
        </w:rPr>
        <w:t>（见正文附件）。</w:t>
      </w:r>
    </w:p>
    <w:p>
      <w:pPr>
        <w:numPr>
          <w:ilvl w:val="0"/>
          <w:numId w:val="0"/>
        </w:numPr>
        <w:rPr>
          <w:rFonts w:hint="eastAsia" w:ascii="黑体" w:hAnsi="黑体" w:eastAsia="黑体" w:cs="黑体"/>
          <w:w w:val="96"/>
          <w:sz w:val="32"/>
          <w:szCs w:val="32"/>
        </w:rPr>
      </w:pPr>
      <w:r>
        <w:rPr>
          <w:rFonts w:hint="eastAsia" w:ascii="黑体" w:hAnsi="黑体" w:eastAsia="黑体" w:cs="黑体"/>
          <w:w w:val="96"/>
          <w:sz w:val="32"/>
          <w:szCs w:val="32"/>
          <w:lang w:val="en-US" w:eastAsia="zh-CN"/>
        </w:rPr>
        <w:t xml:space="preserve">    十一、</w:t>
      </w:r>
      <w:r>
        <w:rPr>
          <w:rFonts w:hint="eastAsia" w:ascii="黑体" w:hAnsi="黑体" w:eastAsia="黑体" w:cs="黑体"/>
          <w:w w:val="96"/>
          <w:sz w:val="32"/>
          <w:szCs w:val="32"/>
          <w:lang w:eastAsia="zh-CN"/>
        </w:rPr>
        <w:t>国有资本经营</w:t>
      </w:r>
      <w:r>
        <w:rPr>
          <w:rFonts w:hint="eastAsia" w:ascii="黑体" w:hAnsi="黑体" w:eastAsia="黑体" w:cs="黑体"/>
          <w:w w:val="96"/>
          <w:sz w:val="32"/>
          <w:szCs w:val="32"/>
        </w:rPr>
        <w:t>预算财政拨款“三公”经费支出决算</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w w:val="96"/>
          <w:sz w:val="32"/>
          <w:szCs w:val="32"/>
          <w:lang w:val="en-US" w:eastAsia="zh-CN"/>
        </w:rPr>
        <w:t xml:space="preserve">          </w:t>
      </w:r>
      <w:r>
        <w:rPr>
          <w:rFonts w:hint="eastAsia" w:ascii="黑体" w:hAnsi="黑体" w:eastAsia="黑体" w:cs="黑体"/>
          <w:w w:val="96"/>
          <w:sz w:val="32"/>
          <w:szCs w:val="32"/>
          <w:lang w:eastAsia="zh-CN"/>
        </w:rPr>
        <w:t>公开表</w:t>
      </w:r>
      <w:r>
        <w:rPr>
          <w:rFonts w:hint="eastAsia" w:ascii="黑体" w:hAnsi="黑体" w:eastAsia="黑体" w:cs="黑体"/>
          <w:sz w:val="32"/>
          <w:szCs w:val="32"/>
          <w:lang w:eastAsia="zh-CN"/>
        </w:rPr>
        <w:t>（见正文附件）。</w:t>
      </w:r>
    </w:p>
    <w:p>
      <w:pPr>
        <w:ind w:firstLine="640" w:firstLineChars="200"/>
        <w:rPr>
          <w:rFonts w:ascii="楷体" w:hAnsi="楷体" w:eastAsia="楷体" w:cs="楷体"/>
          <w:sz w:val="32"/>
          <w:szCs w:val="32"/>
        </w:rPr>
      </w:pPr>
    </w:p>
    <w:p>
      <w:pPr>
        <w:rPr>
          <w:rFonts w:ascii="黑体" w:hAnsi="ˎ̥" w:eastAsia="黑体" w:cs="黑体"/>
          <w:sz w:val="32"/>
          <w:szCs w:val="32"/>
        </w:rPr>
      </w:pPr>
      <w:bookmarkStart w:id="67" w:name="_Toc28629_WPSOffice_Level1"/>
      <w:bookmarkStart w:id="68" w:name="_Toc27590_WPSOffice_Level1"/>
      <w:bookmarkStart w:id="69" w:name="_Toc29683_WPSOffice_Level1"/>
      <w:bookmarkStart w:id="70" w:name="_Toc16686_WPSOffice_Level1"/>
      <w:bookmarkStart w:id="71" w:name="_Toc4402_WPSOffice_Level1"/>
      <w:bookmarkStart w:id="72" w:name="_Toc31264_WPSOffice_Level1"/>
      <w:r>
        <w:rPr>
          <w:rFonts w:hint="eastAsia" w:ascii="黑体" w:hAnsi="ˎ̥" w:eastAsia="黑体" w:cs="黑体"/>
          <w:sz w:val="32"/>
          <w:szCs w:val="32"/>
        </w:rPr>
        <w:t>第三部分  昌江黎族自治县人民检察院2020年度部门决算情况说明</w:t>
      </w:r>
      <w:bookmarkEnd w:id="67"/>
      <w:bookmarkEnd w:id="68"/>
      <w:bookmarkEnd w:id="69"/>
      <w:bookmarkEnd w:id="70"/>
      <w:bookmarkEnd w:id="71"/>
      <w:bookmarkEnd w:id="72"/>
    </w:p>
    <w:p>
      <w:pPr>
        <w:jc w:val="center"/>
        <w:rPr>
          <w:rFonts w:ascii="黑体" w:hAnsi="ˎ̥" w:eastAsia="黑体" w:cs="黑体"/>
          <w:sz w:val="32"/>
          <w:szCs w:val="32"/>
        </w:rPr>
      </w:pPr>
    </w:p>
    <w:p>
      <w:pPr>
        <w:numPr>
          <w:ilvl w:val="0"/>
          <w:numId w:val="2"/>
        </w:numPr>
        <w:ind w:firstLine="640" w:firstLineChars="200"/>
        <w:rPr>
          <w:rFonts w:ascii="仿宋_GB2312" w:hAnsi="仿宋" w:eastAsia="仿宋_GB2312" w:cs="Times New Roman"/>
          <w:kern w:val="0"/>
          <w:sz w:val="32"/>
          <w:szCs w:val="32"/>
          <w:lang w:val="zh-CN"/>
        </w:rPr>
      </w:pPr>
      <w:r>
        <w:rPr>
          <w:rFonts w:hint="eastAsia" w:ascii="黑体" w:hAnsi="宋体" w:eastAsia="黑体" w:cs="黑体"/>
          <w:bCs/>
          <w:sz w:val="32"/>
          <w:szCs w:val="32"/>
        </w:rPr>
        <w:t>收入支出决算总体情况说明</w:t>
      </w:r>
      <w:r>
        <w:rPr>
          <w:rFonts w:hint="eastAsia" w:ascii="黑体" w:hAnsi="宋体" w:eastAsia="黑体" w:cs="黑体"/>
          <w:bCs/>
          <w:sz w:val="32"/>
          <w:szCs w:val="32"/>
        </w:rPr>
        <w:br w:type="textWrapping"/>
      </w:r>
      <w:r>
        <w:rPr>
          <w:rFonts w:hint="eastAsia" w:ascii="仿宋_GB2312" w:hAnsi="ˎ̥" w:eastAsia="仿宋_GB2312" w:cs="仿宋_GB2312"/>
          <w:sz w:val="32"/>
          <w:szCs w:val="32"/>
        </w:rPr>
        <w:t xml:space="preserve">    2020年度本院收、支总计2302.91万元，与2019年度相比，收入、支出总计减少531.33万元,减少18.75%。主要原因：一是根据琼财预〔2019〕711号文件要求经常性项目统一压减10%及“三公”经费压减3%预算；二是我院调离三名公务员和离职三名聘用制书记员，相关基本工资、社保缴费、办公经费等减少。年初结转和结余632.24万元，较2019年度决算数增加68.73万元，增加12.20%，主要原因是县级财政资金拨款结转结余。年末结转结余573.47万元，</w:t>
      </w:r>
      <w:r>
        <w:rPr>
          <w:rFonts w:hint="eastAsia" w:ascii="仿宋_GB2312" w:hAnsi="仿宋" w:eastAsia="仿宋_GB2312" w:cs="Times New Roman"/>
          <w:kern w:val="0"/>
          <w:sz w:val="32"/>
          <w:szCs w:val="32"/>
          <w:lang w:val="zh-CN"/>
        </w:rPr>
        <w:t>较201</w:t>
      </w:r>
      <w:r>
        <w:rPr>
          <w:rFonts w:hint="eastAsia" w:ascii="仿宋_GB2312" w:hAnsi="仿宋" w:eastAsia="仿宋_GB2312" w:cs="Times New Roman"/>
          <w:kern w:val="0"/>
          <w:sz w:val="32"/>
          <w:szCs w:val="32"/>
        </w:rPr>
        <w:t>9</w:t>
      </w:r>
      <w:r>
        <w:rPr>
          <w:rFonts w:hint="eastAsia" w:ascii="仿宋_GB2312" w:hAnsi="仿宋" w:eastAsia="仿宋_GB2312" w:cs="Times New Roman"/>
          <w:kern w:val="0"/>
          <w:sz w:val="32"/>
          <w:szCs w:val="32"/>
          <w:lang w:val="zh-CN"/>
        </w:rPr>
        <w:t>年度决算数减少122.84万元，减少17.64%，主要原因是合理预算，提高资金使用效率。</w:t>
      </w:r>
    </w:p>
    <w:p>
      <w:pPr>
        <w:spacing w:line="560" w:lineRule="exact"/>
        <w:ind w:firstLine="640" w:firstLineChars="200"/>
        <w:rPr>
          <w:rFonts w:ascii="仿宋_GB2312" w:hAnsi="仿宋" w:eastAsia="仿宋_GB2312" w:cs="Times New Roman"/>
          <w:kern w:val="0"/>
          <w:sz w:val="32"/>
          <w:szCs w:val="32"/>
          <w:lang w:val="zh-CN"/>
        </w:rPr>
      </w:pPr>
      <w:r>
        <w:rPr>
          <w:rFonts w:hint="eastAsia" w:ascii="黑体" w:hAnsi="宋体" w:eastAsia="黑体" w:cs="黑体"/>
          <w:bCs/>
          <w:sz w:val="32"/>
          <w:szCs w:val="32"/>
        </w:rPr>
        <w:t>二、收入决算情况说明</w:t>
      </w:r>
      <w:r>
        <w:rPr>
          <w:rFonts w:hint="eastAsia" w:ascii="黑体" w:hAnsi="宋体" w:eastAsia="黑体" w:cs="黑体"/>
          <w:bCs/>
          <w:sz w:val="32"/>
          <w:szCs w:val="32"/>
        </w:rPr>
        <w:br w:type="textWrapping"/>
      </w:r>
      <w:r>
        <w:rPr>
          <w:rFonts w:hint="eastAsia" w:ascii="仿宋_GB2312" w:hAnsi="ˎ̥" w:eastAsia="仿宋_GB2312" w:cs="仿宋_GB2312"/>
          <w:sz w:val="32"/>
          <w:szCs w:val="32"/>
        </w:rPr>
        <w:t xml:space="preserve">    本年收入合计1670.67万元，</w:t>
      </w:r>
      <w:r>
        <w:rPr>
          <w:rFonts w:hint="eastAsia" w:ascii="仿宋_GB2312" w:hAnsi="仿宋" w:eastAsia="仿宋_GB2312" w:cs="Times New Roman"/>
          <w:kern w:val="0"/>
          <w:sz w:val="32"/>
          <w:szCs w:val="32"/>
          <w:lang w:val="zh-CN"/>
        </w:rPr>
        <w:t>其中：财政拨款收入</w:t>
      </w:r>
      <w:r>
        <w:rPr>
          <w:rFonts w:hint="eastAsia" w:ascii="仿宋_GB2312" w:hAnsi="仿宋" w:eastAsia="仿宋_GB2312" w:cs="Times New Roman"/>
          <w:kern w:val="0"/>
          <w:sz w:val="32"/>
          <w:szCs w:val="32"/>
        </w:rPr>
        <w:t>1652.96</w:t>
      </w:r>
      <w:r>
        <w:rPr>
          <w:rFonts w:hint="eastAsia" w:ascii="仿宋_GB2312" w:hAnsi="仿宋" w:eastAsia="仿宋_GB2312" w:cs="Times New Roman"/>
          <w:kern w:val="0"/>
          <w:sz w:val="32"/>
          <w:szCs w:val="32"/>
          <w:lang w:val="zh-CN"/>
        </w:rPr>
        <w:t>万元，占</w:t>
      </w:r>
      <w:r>
        <w:rPr>
          <w:rFonts w:hint="eastAsia" w:ascii="仿宋_GB2312" w:hAnsi="仿宋" w:eastAsia="仿宋_GB2312" w:cs="Times New Roman"/>
          <w:kern w:val="0"/>
          <w:sz w:val="32"/>
          <w:szCs w:val="32"/>
        </w:rPr>
        <w:t>98.94</w:t>
      </w:r>
      <w:r>
        <w:rPr>
          <w:rFonts w:hint="eastAsia" w:ascii="仿宋_GB2312" w:hAnsi="仿宋" w:eastAsia="仿宋_GB2312" w:cs="Times New Roman"/>
          <w:kern w:val="0"/>
          <w:sz w:val="32"/>
          <w:szCs w:val="32"/>
          <w:lang w:val="zh-CN"/>
        </w:rPr>
        <w:t>%；上级补助收入0.00万元；事业收入0.00万元；经营收入0.00 万元；附属单位上缴收入0.00万元；其他收入</w:t>
      </w:r>
      <w:r>
        <w:rPr>
          <w:rFonts w:hint="eastAsia" w:ascii="仿宋_GB2312" w:hAnsi="仿宋" w:eastAsia="仿宋_GB2312" w:cs="Times New Roman"/>
          <w:kern w:val="0"/>
          <w:sz w:val="32"/>
          <w:szCs w:val="32"/>
        </w:rPr>
        <w:t>17.71</w:t>
      </w:r>
      <w:r>
        <w:rPr>
          <w:rFonts w:hint="eastAsia" w:ascii="仿宋_GB2312" w:hAnsi="仿宋" w:eastAsia="仿宋_GB2312" w:cs="Times New Roman"/>
          <w:kern w:val="0"/>
          <w:sz w:val="32"/>
          <w:szCs w:val="32"/>
          <w:lang w:val="zh-CN"/>
        </w:rPr>
        <w:t>万元，占</w:t>
      </w:r>
      <w:r>
        <w:rPr>
          <w:rFonts w:hint="eastAsia" w:ascii="仿宋_GB2312" w:hAnsi="仿宋" w:eastAsia="仿宋_GB2312" w:cs="Times New Roman"/>
          <w:kern w:val="0"/>
          <w:sz w:val="32"/>
          <w:szCs w:val="32"/>
        </w:rPr>
        <w:t>1.06</w:t>
      </w:r>
      <w:r>
        <w:rPr>
          <w:rFonts w:hint="eastAsia" w:ascii="仿宋_GB2312" w:hAnsi="仿宋" w:eastAsia="仿宋_GB2312" w:cs="Times New Roman"/>
          <w:kern w:val="0"/>
          <w:sz w:val="32"/>
          <w:szCs w:val="32"/>
          <w:lang w:val="zh-CN"/>
        </w:rPr>
        <w:t>%。</w:t>
      </w:r>
    </w:p>
    <w:p>
      <w:pPr>
        <w:ind w:firstLine="620" w:firstLineChars="194"/>
        <w:rPr>
          <w:rFonts w:ascii="黑体" w:hAnsi="宋体" w:eastAsia="黑体" w:cs="黑体"/>
          <w:bCs/>
          <w:sz w:val="32"/>
          <w:szCs w:val="32"/>
        </w:rPr>
      </w:pPr>
    </w:p>
    <w:p>
      <w:pPr>
        <w:ind w:firstLine="620" w:firstLineChars="194"/>
        <w:rPr>
          <w:rFonts w:ascii="黑体" w:hAnsi="宋体" w:eastAsia="黑体" w:cs="黑体"/>
          <w:bCs/>
          <w:sz w:val="32"/>
          <w:szCs w:val="32"/>
        </w:rPr>
      </w:pPr>
      <w:r>
        <w:rPr>
          <w:rFonts w:hint="eastAsia" w:ascii="黑体" w:hAnsi="宋体" w:eastAsia="黑体" w:cs="黑体"/>
          <w:bCs/>
          <w:sz w:val="32"/>
          <w:szCs w:val="32"/>
        </w:rPr>
        <w:t>三、支出决算情况说明</w:t>
      </w:r>
    </w:p>
    <w:p>
      <w:pPr>
        <w:spacing w:line="560" w:lineRule="exact"/>
        <w:ind w:firstLine="640" w:firstLineChars="200"/>
        <w:rPr>
          <w:rFonts w:ascii="仿宋_GB2312" w:hAnsi="仿宋" w:eastAsia="仿宋_GB2312" w:cs="Times New Roman"/>
          <w:kern w:val="0"/>
          <w:sz w:val="32"/>
          <w:szCs w:val="32"/>
          <w:lang w:val="zh-CN"/>
        </w:rPr>
      </w:pPr>
      <w:r>
        <w:rPr>
          <w:rFonts w:hint="eastAsia" w:ascii="仿宋_GB2312" w:hAnsi="仿宋" w:eastAsia="仿宋_GB2312" w:cs="Times New Roman"/>
          <w:kern w:val="0"/>
          <w:sz w:val="32"/>
          <w:szCs w:val="32"/>
          <w:lang w:val="zh-CN"/>
        </w:rPr>
        <w:t>本年支出合计</w:t>
      </w:r>
      <w:r>
        <w:rPr>
          <w:rFonts w:hint="eastAsia" w:ascii="仿宋_GB2312" w:hAnsi="仿宋" w:eastAsia="仿宋_GB2312" w:cs="Times New Roman"/>
          <w:kern w:val="0"/>
          <w:sz w:val="32"/>
          <w:szCs w:val="32"/>
        </w:rPr>
        <w:t>1729.44</w:t>
      </w:r>
      <w:r>
        <w:rPr>
          <w:rFonts w:hint="eastAsia" w:ascii="仿宋_GB2312" w:hAnsi="仿宋" w:eastAsia="仿宋_GB2312" w:cs="Times New Roman"/>
          <w:kern w:val="0"/>
          <w:sz w:val="32"/>
          <w:szCs w:val="32"/>
          <w:lang w:val="zh-CN"/>
        </w:rPr>
        <w:t>万元，其中：基本支出</w:t>
      </w:r>
      <w:r>
        <w:rPr>
          <w:rFonts w:hint="eastAsia" w:ascii="仿宋_GB2312" w:hAnsi="仿宋" w:eastAsia="仿宋_GB2312" w:cs="Times New Roman"/>
          <w:kern w:val="0"/>
          <w:sz w:val="32"/>
          <w:szCs w:val="32"/>
        </w:rPr>
        <w:t>1225.67</w:t>
      </w:r>
      <w:r>
        <w:rPr>
          <w:rFonts w:hint="eastAsia" w:ascii="仿宋_GB2312" w:hAnsi="仿宋" w:eastAsia="仿宋_GB2312" w:cs="Times New Roman"/>
          <w:kern w:val="0"/>
          <w:sz w:val="32"/>
          <w:szCs w:val="32"/>
          <w:lang w:val="zh-CN"/>
        </w:rPr>
        <w:t>万元，占</w:t>
      </w:r>
      <w:r>
        <w:rPr>
          <w:rFonts w:hint="eastAsia" w:ascii="仿宋_GB2312" w:hAnsi="仿宋" w:eastAsia="仿宋_GB2312" w:cs="Times New Roman"/>
          <w:kern w:val="0"/>
          <w:sz w:val="32"/>
          <w:szCs w:val="32"/>
        </w:rPr>
        <w:t>70.87</w:t>
      </w:r>
      <w:r>
        <w:rPr>
          <w:rFonts w:hint="eastAsia" w:ascii="仿宋_GB2312" w:hAnsi="仿宋" w:eastAsia="仿宋_GB2312" w:cs="Times New Roman"/>
          <w:kern w:val="0"/>
          <w:sz w:val="32"/>
          <w:szCs w:val="32"/>
          <w:lang w:val="zh-CN"/>
        </w:rPr>
        <w:t>%；项目支出</w:t>
      </w:r>
      <w:r>
        <w:rPr>
          <w:rFonts w:hint="eastAsia" w:ascii="仿宋_GB2312" w:hAnsi="仿宋" w:eastAsia="仿宋_GB2312" w:cs="Times New Roman"/>
          <w:kern w:val="0"/>
          <w:sz w:val="32"/>
          <w:szCs w:val="32"/>
        </w:rPr>
        <w:t>503.76</w:t>
      </w:r>
      <w:r>
        <w:rPr>
          <w:rFonts w:hint="eastAsia" w:ascii="仿宋_GB2312" w:hAnsi="仿宋" w:eastAsia="仿宋_GB2312" w:cs="Times New Roman"/>
          <w:kern w:val="0"/>
          <w:sz w:val="32"/>
          <w:szCs w:val="32"/>
          <w:lang w:val="zh-CN"/>
        </w:rPr>
        <w:t>万元，占</w:t>
      </w:r>
      <w:r>
        <w:rPr>
          <w:rFonts w:hint="eastAsia" w:ascii="仿宋_GB2312" w:hAnsi="仿宋" w:eastAsia="仿宋_GB2312" w:cs="Times New Roman"/>
          <w:kern w:val="0"/>
          <w:sz w:val="32"/>
          <w:szCs w:val="32"/>
        </w:rPr>
        <w:t>29.13</w:t>
      </w:r>
      <w:r>
        <w:rPr>
          <w:rFonts w:hint="eastAsia" w:ascii="仿宋_GB2312" w:hAnsi="仿宋" w:eastAsia="仿宋_GB2312" w:cs="Times New Roman"/>
          <w:kern w:val="0"/>
          <w:sz w:val="32"/>
          <w:szCs w:val="32"/>
          <w:lang w:val="zh-CN"/>
        </w:rPr>
        <w:t>%；上缴上级支出0.00万元；经营支出0.00万元；对附属单位补助支出0.00万元。</w:t>
      </w:r>
    </w:p>
    <w:p>
      <w:pPr>
        <w:ind w:firstLine="620" w:firstLineChars="194"/>
        <w:rPr>
          <w:rFonts w:ascii="黑体" w:hAnsi="宋体" w:eastAsia="黑体" w:cs="黑体"/>
          <w:bCs/>
          <w:sz w:val="32"/>
          <w:szCs w:val="32"/>
        </w:rPr>
      </w:pPr>
      <w:r>
        <w:rPr>
          <w:rFonts w:hint="eastAsia" w:ascii="黑体" w:hAnsi="宋体" w:eastAsia="黑体" w:cs="黑体"/>
          <w:bCs/>
          <w:sz w:val="32"/>
          <w:szCs w:val="32"/>
        </w:rPr>
        <w:t>四、财政拨款收入支出决算总体情况说明</w:t>
      </w:r>
    </w:p>
    <w:p>
      <w:pPr>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2020年度财政拨款收入、支出总计2060.14万元。与2019年度相比，财政拨款收入、支出总计减少331.91万元，减少13.88%。主要原因：一是我院调离三名公务员和离职三名聘用制书记员，相关基本工资、社保缴费、办公经费等减少；二是根据琼财预〔2019〕711号文件要求经常性项目统一压减10%及“三公”经费压减3%预算；三是根据上年度支出情况，调整本年度预算。</w:t>
      </w:r>
    </w:p>
    <w:p>
      <w:pPr>
        <w:ind w:firstLine="640" w:firstLineChars="200"/>
        <w:rPr>
          <w:rFonts w:hint="eastAsia" w:ascii="仿宋_GB2312" w:hAnsi="ˎ̥" w:eastAsia="仿宋_GB2312" w:cs="仿宋_GB2312"/>
          <w:sz w:val="32"/>
          <w:szCs w:val="32"/>
          <w:lang w:val="en-US" w:eastAsia="zh-CN"/>
        </w:rPr>
      </w:pPr>
      <w:r>
        <w:rPr>
          <w:rFonts w:hint="eastAsia" w:ascii="仿宋_GB2312" w:hAnsi="ˎ̥" w:eastAsia="仿宋_GB2312" w:cs="仿宋_GB2312"/>
          <w:sz w:val="32"/>
          <w:szCs w:val="32"/>
          <w:lang w:eastAsia="zh-CN"/>
        </w:rPr>
        <w:t>财政拨款年初结转结余632.24万元，较2019年度决算数增加68.73万元，增加12.20%，主要原因一是聘用书记员绩效奖金结转下一年度发放；二是县级财政资金拨款项目未完工结转下一年度支付。</w:t>
      </w:r>
    </w:p>
    <w:p>
      <w:pPr>
        <w:ind w:firstLine="640" w:firstLineChars="200"/>
        <w:rPr>
          <w:rFonts w:hint="eastAsia" w:ascii="仿宋_GB2312" w:hAnsi="ˎ̥" w:eastAsia="仿宋_GB2312" w:cs="仿宋_GB2312"/>
          <w:sz w:val="32"/>
          <w:szCs w:val="32"/>
          <w:lang w:val="zh-CN" w:eastAsia="zh-CN"/>
        </w:rPr>
      </w:pPr>
      <w:r>
        <w:rPr>
          <w:rFonts w:hint="eastAsia" w:ascii="仿宋_GB2312" w:hAnsi="ˎ̥" w:eastAsia="仿宋_GB2312" w:cs="仿宋_GB2312"/>
          <w:sz w:val="32"/>
          <w:szCs w:val="32"/>
          <w:lang w:eastAsia="zh-CN"/>
        </w:rPr>
        <w:t>财政拨款年末结转结余573.47万元，较2019年度决算数减少122.84万元，减少17.64%，</w:t>
      </w:r>
      <w:r>
        <w:rPr>
          <w:rFonts w:hint="eastAsia" w:ascii="仿宋_GB2312" w:hAnsi="ˎ̥" w:eastAsia="仿宋_GB2312" w:cs="仿宋_GB2312"/>
          <w:sz w:val="32"/>
          <w:szCs w:val="32"/>
          <w:lang w:val="zh-CN" w:eastAsia="zh-CN"/>
        </w:rPr>
        <w:t>主要原因是合理预算，提高资金使用效率。</w:t>
      </w:r>
    </w:p>
    <w:p>
      <w:pPr>
        <w:ind w:firstLine="640" w:firstLineChars="200"/>
        <w:rPr>
          <w:rFonts w:ascii="黑体" w:hAnsi="宋体" w:eastAsia="黑体" w:cs="黑体"/>
          <w:bCs/>
          <w:sz w:val="32"/>
          <w:szCs w:val="32"/>
        </w:rPr>
      </w:pPr>
      <w:r>
        <w:rPr>
          <w:rFonts w:hint="eastAsia" w:ascii="黑体" w:hAnsi="宋体" w:eastAsia="黑体" w:cs="黑体"/>
          <w:bCs/>
          <w:sz w:val="32"/>
          <w:szCs w:val="32"/>
        </w:rPr>
        <w:t>五、一般公共预算财政拨款支出决算情况说明</w:t>
      </w:r>
    </w:p>
    <w:p>
      <w:pPr>
        <w:ind w:firstLine="640" w:firstLineChars="200"/>
        <w:rPr>
          <w:rFonts w:ascii="楷体" w:hAnsi="楷体" w:eastAsia="楷体" w:cs="楷体"/>
          <w:sz w:val="32"/>
          <w:szCs w:val="32"/>
        </w:rPr>
      </w:pPr>
      <w:bookmarkStart w:id="73" w:name="_Toc17398_WPSOffice_Level2"/>
      <w:bookmarkStart w:id="74" w:name="_Toc13694_WPSOffice_Level2"/>
      <w:bookmarkStart w:id="75" w:name="_Toc21737_WPSOffice_Level2"/>
      <w:bookmarkStart w:id="76" w:name="_Toc23005_WPSOffice_Level2"/>
      <w:bookmarkStart w:id="77" w:name="_Toc19665_WPSOffice_Level2"/>
      <w:bookmarkStart w:id="78" w:name="_Toc9989_WPSOffice_Level2"/>
      <w:r>
        <w:rPr>
          <w:rFonts w:hint="eastAsia" w:ascii="楷体" w:hAnsi="楷体" w:eastAsia="楷体" w:cs="楷体"/>
          <w:sz w:val="32"/>
          <w:szCs w:val="32"/>
        </w:rPr>
        <w:t>（一）一般公共预算财政拨款支出决算总体情况</w:t>
      </w:r>
      <w:bookmarkEnd w:id="73"/>
      <w:bookmarkEnd w:id="74"/>
      <w:r>
        <w:rPr>
          <w:rFonts w:hint="eastAsia" w:ascii="楷体" w:hAnsi="楷体" w:eastAsia="楷体" w:cs="楷体"/>
          <w:sz w:val="32"/>
          <w:szCs w:val="32"/>
        </w:rPr>
        <w:t>。</w:t>
      </w:r>
      <w:bookmarkEnd w:id="75"/>
      <w:bookmarkEnd w:id="76"/>
      <w:bookmarkEnd w:id="77"/>
      <w:bookmarkEnd w:id="78"/>
    </w:p>
    <w:p>
      <w:pPr>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2020年度一般公共预算财政拨款支出1677.37万元，与2019年度相比，财政拨款支出减少260.56万元，减少13.45%，</w:t>
      </w:r>
      <w:bookmarkStart w:id="79" w:name="_Toc18793_WPSOffice_Level2"/>
      <w:bookmarkStart w:id="80" w:name="_Toc2711_WPSOffice_Level2"/>
      <w:bookmarkStart w:id="81" w:name="_Toc23864_WPSOffice_Level2"/>
      <w:bookmarkStart w:id="82" w:name="_Toc27767_WPSOffice_Level2"/>
      <w:bookmarkStart w:id="83" w:name="_Toc19535_WPSOffice_Level2"/>
      <w:bookmarkStart w:id="84" w:name="_Toc19075_WPSOffice_Level2"/>
      <w:r>
        <w:rPr>
          <w:rFonts w:hint="eastAsia" w:ascii="仿宋_GB2312" w:hAnsi="ˎ̥" w:eastAsia="仿宋_GB2312" w:cs="仿宋_GB2312"/>
          <w:sz w:val="32"/>
          <w:szCs w:val="32"/>
        </w:rPr>
        <w:t>主要原因：一是我院调离三名公务员和离职三名聘用制书记员，相关基本工资、社保缴费、办公经费等减少；二是根据琼财预〔2019〕711号文件要求经常性项目统一压减10%及“三公”经费压减3%预算；三是根据上年度支出情况，调整本年度预算。</w:t>
      </w:r>
    </w:p>
    <w:p>
      <w:pPr>
        <w:ind w:firstLine="640" w:firstLineChars="200"/>
        <w:rPr>
          <w:rFonts w:ascii="楷体" w:hAnsi="楷体" w:eastAsia="楷体" w:cs="楷体"/>
          <w:sz w:val="32"/>
          <w:szCs w:val="32"/>
        </w:rPr>
      </w:pPr>
      <w:r>
        <w:rPr>
          <w:rFonts w:hint="eastAsia" w:ascii="楷体" w:hAnsi="楷体" w:eastAsia="楷体" w:cs="楷体"/>
          <w:sz w:val="32"/>
          <w:szCs w:val="32"/>
        </w:rPr>
        <w:t>（二）一般公共预算财政拨款支出决算结构情况</w:t>
      </w:r>
      <w:bookmarkEnd w:id="79"/>
      <w:bookmarkEnd w:id="80"/>
      <w:r>
        <w:rPr>
          <w:rFonts w:hint="eastAsia" w:ascii="楷体" w:hAnsi="楷体" w:eastAsia="楷体" w:cs="楷体"/>
          <w:sz w:val="32"/>
          <w:szCs w:val="32"/>
        </w:rPr>
        <w:t>。</w:t>
      </w:r>
      <w:bookmarkEnd w:id="81"/>
      <w:bookmarkEnd w:id="82"/>
      <w:bookmarkEnd w:id="83"/>
      <w:bookmarkEnd w:id="84"/>
    </w:p>
    <w:p>
      <w:pPr>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2020年度一般公共预算财政拨款支出1677.37万元，主要用于以下方面：</w:t>
      </w:r>
      <w:r>
        <w:rPr>
          <w:rFonts w:hint="eastAsia" w:ascii="仿宋_GB2312" w:hAnsi="ˎ̥" w:eastAsia="仿宋_GB2312" w:cs="仿宋_GB2312"/>
          <w:b/>
          <w:sz w:val="32"/>
          <w:szCs w:val="32"/>
        </w:rPr>
        <w:t>一般公共服务（类）</w:t>
      </w:r>
      <w:r>
        <w:rPr>
          <w:rFonts w:hint="eastAsia" w:ascii="仿宋_GB2312" w:hAnsi="ˎ̥" w:eastAsia="仿宋_GB2312" w:cs="仿宋_GB2312"/>
          <w:sz w:val="32"/>
          <w:szCs w:val="32"/>
        </w:rPr>
        <w:t>支出1404.26万元，占83.72%；</w:t>
      </w:r>
      <w:r>
        <w:rPr>
          <w:rFonts w:hint="eastAsia" w:ascii="仿宋_GB2312" w:hAnsi="ˎ̥" w:eastAsia="仿宋_GB2312" w:cs="仿宋_GB2312"/>
          <w:b/>
          <w:sz w:val="32"/>
          <w:szCs w:val="32"/>
        </w:rPr>
        <w:t>社会保障和就业（类）支出</w:t>
      </w:r>
      <w:r>
        <w:rPr>
          <w:rFonts w:hint="eastAsia" w:ascii="仿宋_GB2312" w:hAnsi="ˎ̥" w:eastAsia="仿宋_GB2312" w:cs="仿宋_GB2312"/>
          <w:sz w:val="32"/>
          <w:szCs w:val="32"/>
        </w:rPr>
        <w:t>81.76万元，占4.87%；</w:t>
      </w:r>
      <w:r>
        <w:rPr>
          <w:rFonts w:hint="eastAsia" w:ascii="仿宋_GB2312" w:hAnsi="ˎ̥" w:eastAsia="仿宋_GB2312" w:cs="仿宋_GB2312"/>
          <w:b/>
          <w:sz w:val="32"/>
          <w:szCs w:val="32"/>
        </w:rPr>
        <w:t>卫生健康支出</w:t>
      </w:r>
      <w:r>
        <w:rPr>
          <w:rFonts w:hint="eastAsia" w:ascii="仿宋_GB2312" w:hAnsi="ˎ̥" w:eastAsia="仿宋_GB2312" w:cs="仿宋_GB2312"/>
          <w:b/>
          <w:bCs/>
          <w:sz w:val="32"/>
          <w:szCs w:val="32"/>
        </w:rPr>
        <w:t>（类）</w:t>
      </w:r>
      <w:r>
        <w:rPr>
          <w:rFonts w:hint="eastAsia" w:ascii="仿宋_GB2312" w:hAnsi="ˎ̥" w:eastAsia="仿宋_GB2312" w:cs="仿宋_GB2312"/>
          <w:b/>
          <w:sz w:val="32"/>
          <w:szCs w:val="32"/>
        </w:rPr>
        <w:t>支出</w:t>
      </w:r>
      <w:r>
        <w:rPr>
          <w:rFonts w:hint="eastAsia" w:ascii="仿宋_GB2312" w:hAnsi="ˎ̥" w:eastAsia="仿宋_GB2312" w:cs="仿宋_GB2312"/>
          <w:sz w:val="32"/>
          <w:szCs w:val="32"/>
        </w:rPr>
        <w:t>124.93万元，占7.45%；</w:t>
      </w:r>
      <w:r>
        <w:rPr>
          <w:rFonts w:hint="eastAsia" w:ascii="仿宋_GB2312" w:hAnsi="ˎ̥" w:eastAsia="仿宋_GB2312" w:cs="仿宋_GB2312"/>
          <w:b/>
          <w:sz w:val="32"/>
          <w:szCs w:val="32"/>
        </w:rPr>
        <w:t>住房保障（类）支出</w:t>
      </w:r>
      <w:r>
        <w:rPr>
          <w:rFonts w:hint="eastAsia" w:ascii="仿宋_GB2312" w:hAnsi="ˎ̥" w:eastAsia="仿宋_GB2312" w:cs="仿宋_GB2312"/>
          <w:sz w:val="32"/>
          <w:szCs w:val="32"/>
        </w:rPr>
        <w:t>66.41万元，占3.96%，其他支出（类）支出0.00万元，占0.00%。</w:t>
      </w:r>
    </w:p>
    <w:p>
      <w:pPr>
        <w:ind w:firstLine="640" w:firstLineChars="200"/>
        <w:rPr>
          <w:rFonts w:ascii="楷体" w:hAnsi="楷体" w:eastAsia="楷体" w:cs="楷体"/>
          <w:sz w:val="32"/>
          <w:szCs w:val="32"/>
        </w:rPr>
      </w:pPr>
      <w:bookmarkStart w:id="85" w:name="_Toc15415_WPSOffice_Level2"/>
      <w:bookmarkStart w:id="86" w:name="_Toc25136_WPSOffice_Level2"/>
      <w:bookmarkStart w:id="87" w:name="_Toc29364_WPSOffice_Level2"/>
      <w:bookmarkStart w:id="88" w:name="_Toc22318_WPSOffice_Level2"/>
      <w:bookmarkStart w:id="89" w:name="_Toc9502_WPSOffice_Level2"/>
      <w:bookmarkStart w:id="90" w:name="_Toc21701_WPSOffice_Level2"/>
      <w:r>
        <w:rPr>
          <w:rFonts w:hint="eastAsia" w:ascii="楷体" w:hAnsi="楷体" w:eastAsia="楷体" w:cs="楷体"/>
          <w:sz w:val="32"/>
          <w:szCs w:val="32"/>
        </w:rPr>
        <w:t>（三）一般公共预算财政拨款支出决算具体情况。</w:t>
      </w:r>
      <w:bookmarkEnd w:id="85"/>
      <w:bookmarkEnd w:id="86"/>
      <w:bookmarkEnd w:id="87"/>
      <w:bookmarkEnd w:id="88"/>
      <w:bookmarkEnd w:id="89"/>
      <w:bookmarkEnd w:id="90"/>
    </w:p>
    <w:p>
      <w:pPr>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2020年度财政拨款支出年初预算为1405.91万元，支出决算为1677.37万元，完成年初预算的119.31%。其中：</w:t>
      </w:r>
    </w:p>
    <w:p>
      <w:pPr>
        <w:ind w:firstLine="643" w:firstLineChars="200"/>
        <w:rPr>
          <w:rFonts w:ascii="仿宋_GB2312" w:hAnsi="ˎ̥" w:eastAsia="仿宋_GB2312" w:cs="仿宋_GB2312"/>
          <w:b/>
          <w:sz w:val="32"/>
          <w:szCs w:val="32"/>
        </w:rPr>
      </w:pPr>
      <w:r>
        <w:rPr>
          <w:rFonts w:hint="eastAsia" w:ascii="仿宋_GB2312" w:hAnsi="ˎ̥" w:eastAsia="仿宋_GB2312" w:cs="仿宋_GB2312"/>
          <w:b/>
          <w:bCs/>
          <w:sz w:val="32"/>
          <w:szCs w:val="32"/>
        </w:rPr>
        <w:t>1.</w:t>
      </w:r>
      <w:r>
        <w:rPr>
          <w:rFonts w:hint="eastAsia" w:ascii="仿宋_GB2312" w:hAnsi="ˎ̥" w:eastAsia="仿宋_GB2312" w:cs="仿宋_GB2312"/>
          <w:b/>
          <w:sz w:val="32"/>
          <w:szCs w:val="32"/>
        </w:rPr>
        <w:t>一般公共服务（类）人大事务（款）行政运行（项）。</w:t>
      </w:r>
    </w:p>
    <w:p>
      <w:pPr>
        <w:ind w:firstLine="640" w:firstLineChars="200"/>
        <w:rPr>
          <w:rFonts w:hint="eastAsia" w:ascii="仿宋_GB2312" w:hAnsi="ˎ̥" w:eastAsia="仿宋_GB2312" w:cs="仿宋_GB2312"/>
          <w:sz w:val="32"/>
          <w:szCs w:val="32"/>
          <w:lang w:eastAsia="zh-CN"/>
        </w:rPr>
      </w:pPr>
      <w:r>
        <w:rPr>
          <w:rFonts w:hint="eastAsia" w:ascii="仿宋_GB2312" w:hAnsi="ˎ̥" w:eastAsia="仿宋_GB2312" w:cs="仿宋_GB2312"/>
          <w:sz w:val="32"/>
          <w:szCs w:val="32"/>
        </w:rPr>
        <w:t>年初预算为</w:t>
      </w:r>
      <w:r>
        <w:rPr>
          <w:rFonts w:hint="eastAsia" w:ascii="仿宋_GB2312" w:hAnsi="ˎ̥" w:eastAsia="仿宋_GB2312" w:cs="仿宋_GB2312"/>
          <w:sz w:val="32"/>
          <w:szCs w:val="32"/>
          <w:lang w:val="en-US" w:eastAsia="zh-CN"/>
        </w:rPr>
        <w:t>811.53</w:t>
      </w:r>
      <w:r>
        <w:rPr>
          <w:rFonts w:hint="eastAsia" w:ascii="仿宋_GB2312" w:hAnsi="ˎ̥" w:eastAsia="仿宋_GB2312" w:cs="仿宋_GB2312"/>
          <w:sz w:val="32"/>
          <w:szCs w:val="32"/>
        </w:rPr>
        <w:t>万元，支出决算为</w:t>
      </w:r>
      <w:r>
        <w:rPr>
          <w:rFonts w:hint="eastAsia" w:ascii="仿宋_GB2312" w:hAnsi="ˎ̥" w:eastAsia="仿宋_GB2312" w:cs="仿宋_GB2312"/>
          <w:sz w:val="32"/>
          <w:szCs w:val="32"/>
          <w:lang w:val="en-US" w:eastAsia="zh-CN"/>
        </w:rPr>
        <w:t>958.54</w:t>
      </w:r>
      <w:r>
        <w:rPr>
          <w:rFonts w:hint="eastAsia" w:ascii="仿宋_GB2312" w:hAnsi="ˎ̥" w:eastAsia="仿宋_GB2312" w:cs="仿宋_GB2312"/>
          <w:sz w:val="32"/>
          <w:szCs w:val="32"/>
        </w:rPr>
        <w:t>万元，完成年初预算的118.</w:t>
      </w:r>
      <w:r>
        <w:rPr>
          <w:rFonts w:hint="eastAsia" w:ascii="仿宋_GB2312" w:hAnsi="ˎ̥" w:eastAsia="仿宋_GB2312" w:cs="仿宋_GB2312"/>
          <w:sz w:val="32"/>
          <w:szCs w:val="32"/>
          <w:lang w:val="en-US" w:eastAsia="zh-CN"/>
        </w:rPr>
        <w:t>11</w:t>
      </w:r>
      <w:r>
        <w:rPr>
          <w:rFonts w:hint="eastAsia" w:ascii="仿宋_GB2312" w:hAnsi="ˎ̥" w:eastAsia="仿宋_GB2312" w:cs="仿宋_GB2312"/>
          <w:sz w:val="32"/>
          <w:szCs w:val="32"/>
        </w:rPr>
        <w:t>%，</w:t>
      </w:r>
      <w:r>
        <w:rPr>
          <w:rFonts w:hint="eastAsia" w:ascii="仿宋_GB2312" w:hAnsi="ˎ̥" w:eastAsia="仿宋_GB2312" w:cs="仿宋_GB2312"/>
          <w:sz w:val="32"/>
          <w:szCs w:val="32"/>
          <w:lang w:eastAsia="zh-CN"/>
        </w:rPr>
        <w:t>决算数大于预算数的主要原因是：追加人员工资等费用。</w:t>
      </w:r>
    </w:p>
    <w:p>
      <w:pPr>
        <w:numPr>
          <w:ilvl w:val="0"/>
          <w:numId w:val="0"/>
        </w:numPr>
        <w:rPr>
          <w:rFonts w:hint="default" w:ascii="仿宋_GB2312" w:hAnsi="ˎ̥" w:eastAsia="仿宋_GB2312" w:cs="仿宋_GB2312"/>
          <w:kern w:val="0"/>
          <w:sz w:val="32"/>
          <w:szCs w:val="32"/>
          <w:highlight w:val="none"/>
        </w:rPr>
      </w:pPr>
      <w:r>
        <w:rPr>
          <w:rFonts w:hint="eastAsia" w:ascii="仿宋_GB2312" w:hAnsi="ˎ̥" w:eastAsia="仿宋_GB2312" w:cs="仿宋_GB2312"/>
          <w:sz w:val="32"/>
          <w:szCs w:val="32"/>
          <w:lang w:val="en-US" w:eastAsia="zh-CN"/>
        </w:rPr>
        <w:t xml:space="preserve">    </w:t>
      </w:r>
      <w:r>
        <w:rPr>
          <w:rFonts w:hint="eastAsia" w:ascii="仿宋_GB2312" w:hAnsi="ˎ̥" w:eastAsia="仿宋_GB2312" w:cs="仿宋_GB2312"/>
          <w:b/>
          <w:bCs/>
          <w:sz w:val="32"/>
          <w:szCs w:val="32"/>
          <w:lang w:val="en-US" w:eastAsia="zh-CN"/>
        </w:rPr>
        <w:t>2.</w:t>
      </w:r>
      <w:r>
        <w:rPr>
          <w:rFonts w:hint="default" w:ascii="仿宋_GB2312" w:hAnsi="ˎ̥" w:eastAsia="仿宋_GB2312" w:cs="仿宋_GB2312"/>
          <w:b/>
          <w:kern w:val="0"/>
          <w:sz w:val="32"/>
          <w:szCs w:val="32"/>
          <w:highlight w:val="none"/>
        </w:rPr>
        <w:t>公共安全</w:t>
      </w:r>
      <w:r>
        <w:rPr>
          <w:rFonts w:hint="eastAsia" w:ascii="仿宋_GB2312" w:hAnsi="ˎ̥" w:eastAsia="仿宋_GB2312" w:cs="仿宋_GB2312"/>
          <w:b/>
          <w:kern w:val="0"/>
          <w:sz w:val="32"/>
          <w:szCs w:val="32"/>
          <w:highlight w:val="none"/>
          <w:lang w:eastAsia="zh-CN"/>
        </w:rPr>
        <w:t>支出</w:t>
      </w:r>
      <w:r>
        <w:rPr>
          <w:rFonts w:hint="default" w:ascii="仿宋_GB2312" w:hAnsi="ˎ̥" w:eastAsia="仿宋_GB2312" w:cs="仿宋_GB2312"/>
          <w:b/>
          <w:kern w:val="0"/>
          <w:sz w:val="32"/>
          <w:szCs w:val="32"/>
          <w:highlight w:val="none"/>
        </w:rPr>
        <w:t>（类）检察（款）</w:t>
      </w:r>
      <w:r>
        <w:rPr>
          <w:rFonts w:hint="eastAsia" w:ascii="仿宋_GB2312" w:hAnsi="ˎ̥" w:eastAsia="仿宋_GB2312" w:cs="仿宋_GB2312"/>
          <w:b/>
          <w:kern w:val="0"/>
          <w:sz w:val="32"/>
          <w:szCs w:val="32"/>
          <w:highlight w:val="none"/>
          <w:lang w:eastAsia="zh-CN"/>
        </w:rPr>
        <w:t>一般行政管理事务</w:t>
      </w:r>
      <w:r>
        <w:rPr>
          <w:rFonts w:hint="default" w:ascii="仿宋_GB2312" w:hAnsi="ˎ̥" w:eastAsia="仿宋_GB2312" w:cs="仿宋_GB2312"/>
          <w:b/>
          <w:kern w:val="0"/>
          <w:sz w:val="32"/>
          <w:szCs w:val="32"/>
          <w:highlight w:val="none"/>
          <w:shd w:val="clear" w:color="auto" w:fill="FFFFFF"/>
        </w:rPr>
        <w:t>（项）</w:t>
      </w:r>
    </w:p>
    <w:p>
      <w:pPr>
        <w:ind w:firstLine="640" w:firstLineChars="200"/>
        <w:rPr>
          <w:rFonts w:hint="default" w:ascii="仿宋_GB2312" w:hAnsi="ˎ̥" w:eastAsia="仿宋_GB2312" w:cs="仿宋_GB2312"/>
          <w:sz w:val="32"/>
          <w:szCs w:val="32"/>
          <w:lang w:val="en-US" w:eastAsia="zh-CN"/>
        </w:rPr>
      </w:pPr>
      <w:r>
        <w:rPr>
          <w:rFonts w:hint="default" w:ascii="仿宋_GB2312" w:hAnsi="ˎ̥" w:eastAsia="仿宋_GB2312" w:cs="仿宋_GB2312"/>
          <w:sz w:val="32"/>
          <w:szCs w:val="32"/>
        </w:rPr>
        <w:t>年初</w:t>
      </w:r>
      <w:r>
        <w:rPr>
          <w:rFonts w:hint="eastAsia" w:ascii="仿宋_GB2312" w:hAnsi="ˎ̥" w:eastAsia="仿宋_GB2312" w:cs="仿宋_GB2312"/>
          <w:sz w:val="32"/>
          <w:szCs w:val="32"/>
          <w:lang w:eastAsia="zh-CN"/>
        </w:rPr>
        <w:t>结转和结余</w:t>
      </w:r>
      <w:r>
        <w:rPr>
          <w:rFonts w:hint="eastAsia" w:ascii="仿宋_GB2312" w:hAnsi="ˎ̥" w:eastAsia="仿宋_GB2312" w:cs="仿宋_GB2312"/>
          <w:sz w:val="32"/>
          <w:szCs w:val="32"/>
          <w:lang w:val="en-US" w:eastAsia="zh-CN"/>
        </w:rPr>
        <w:t>11.84万元</w:t>
      </w:r>
      <w:r>
        <w:rPr>
          <w:rFonts w:hint="eastAsia" w:ascii="仿宋_GB2312" w:hAnsi="ˎ̥" w:eastAsia="仿宋_GB2312" w:cs="仿宋_GB2312"/>
          <w:sz w:val="32"/>
          <w:szCs w:val="32"/>
        </w:rPr>
        <w:t>，支出决算为</w:t>
      </w:r>
      <w:r>
        <w:rPr>
          <w:rFonts w:hint="eastAsia" w:ascii="仿宋_GB2312" w:hAnsi="ˎ̥" w:eastAsia="仿宋_GB2312" w:cs="仿宋_GB2312"/>
          <w:sz w:val="32"/>
          <w:szCs w:val="32"/>
          <w:lang w:val="en-US" w:eastAsia="zh-CN"/>
        </w:rPr>
        <w:t>0</w:t>
      </w:r>
      <w:r>
        <w:rPr>
          <w:rFonts w:hint="eastAsia" w:ascii="仿宋_GB2312" w:hAnsi="ˎ̥" w:eastAsia="仿宋_GB2312" w:cs="仿宋_GB2312"/>
          <w:sz w:val="32"/>
          <w:szCs w:val="32"/>
        </w:rPr>
        <w:t>万元，完成年初预算的</w:t>
      </w:r>
      <w:r>
        <w:rPr>
          <w:rFonts w:hint="eastAsia" w:ascii="仿宋_GB2312" w:hAnsi="ˎ̥" w:eastAsia="仿宋_GB2312" w:cs="仿宋_GB2312"/>
          <w:sz w:val="32"/>
          <w:szCs w:val="32"/>
          <w:lang w:val="en-US" w:eastAsia="zh-CN"/>
        </w:rPr>
        <w:t>0</w:t>
      </w:r>
      <w:r>
        <w:rPr>
          <w:rFonts w:hint="eastAsia" w:ascii="仿宋_GB2312" w:hAnsi="ˎ̥" w:eastAsia="仿宋_GB2312" w:cs="仿宋_GB2312"/>
          <w:sz w:val="32"/>
          <w:szCs w:val="32"/>
        </w:rPr>
        <w:t>%，</w:t>
      </w:r>
      <w:r>
        <w:rPr>
          <w:rFonts w:hint="eastAsia" w:ascii="仿宋_GB2312" w:hAnsi="ˎ̥" w:eastAsia="仿宋_GB2312" w:cs="仿宋_GB2312"/>
          <w:sz w:val="32"/>
          <w:szCs w:val="32"/>
          <w:lang w:eastAsia="zh-CN"/>
        </w:rPr>
        <w:t>决算数小于预算数的主要原因是</w:t>
      </w:r>
      <w:r>
        <w:rPr>
          <w:rFonts w:hint="eastAsia" w:ascii="仿宋_GB2312" w:hAnsi="ˎ̥" w:eastAsia="仿宋_GB2312" w:cs="仿宋_GB2312"/>
          <w:sz w:val="32"/>
          <w:szCs w:val="32"/>
          <w:lang w:val="en-US" w:eastAsia="zh-CN"/>
        </w:rPr>
        <w:t>09年结余办案经费。</w:t>
      </w:r>
    </w:p>
    <w:p>
      <w:pPr>
        <w:ind w:firstLine="643" w:firstLineChars="200"/>
        <w:rPr>
          <w:rFonts w:hint="eastAsia" w:ascii="仿宋_GB2312" w:hAnsi="ˎ̥" w:eastAsia="仿宋_GB2312" w:cs="仿宋_GB2312"/>
          <w:b/>
          <w:bCs/>
          <w:sz w:val="32"/>
          <w:szCs w:val="32"/>
          <w:lang w:val="en-US" w:eastAsia="zh-CN"/>
        </w:rPr>
      </w:pPr>
      <w:r>
        <w:rPr>
          <w:rFonts w:hint="eastAsia" w:ascii="仿宋_GB2312" w:hAnsi="ˎ̥" w:eastAsia="仿宋_GB2312" w:cs="仿宋_GB2312"/>
          <w:b/>
          <w:bCs/>
          <w:sz w:val="32"/>
          <w:szCs w:val="32"/>
          <w:lang w:val="en-US" w:eastAsia="zh-CN"/>
        </w:rPr>
        <w:t>3.公共安全（类）检察（款）检察监督（项）</w:t>
      </w:r>
    </w:p>
    <w:p>
      <w:pPr>
        <w:ind w:firstLine="640" w:firstLineChars="200"/>
        <w:rPr>
          <w:rFonts w:hint="default" w:ascii="仿宋_GB2312" w:hAnsi="ˎ̥" w:eastAsia="仿宋_GB2312" w:cs="仿宋_GB2312"/>
          <w:sz w:val="32"/>
          <w:szCs w:val="32"/>
          <w:lang w:val="en-US" w:eastAsia="zh-CN"/>
        </w:rPr>
      </w:pPr>
      <w:r>
        <w:rPr>
          <w:rFonts w:hint="eastAsia" w:ascii="仿宋_GB2312" w:hAnsi="ˎ̥" w:eastAsia="仿宋_GB2312" w:cs="仿宋_GB2312"/>
          <w:sz w:val="32"/>
          <w:szCs w:val="32"/>
        </w:rPr>
        <w:t>年初预算为</w:t>
      </w:r>
      <w:r>
        <w:rPr>
          <w:rFonts w:hint="eastAsia" w:ascii="仿宋_GB2312" w:hAnsi="ˎ̥" w:eastAsia="仿宋_GB2312" w:cs="仿宋_GB2312"/>
          <w:sz w:val="32"/>
          <w:szCs w:val="32"/>
          <w:lang w:val="en-US" w:eastAsia="zh-CN"/>
        </w:rPr>
        <w:t>14.13</w:t>
      </w:r>
      <w:r>
        <w:rPr>
          <w:rFonts w:hint="eastAsia" w:ascii="仿宋_GB2312" w:hAnsi="ˎ̥" w:eastAsia="仿宋_GB2312" w:cs="仿宋_GB2312"/>
          <w:sz w:val="32"/>
          <w:szCs w:val="32"/>
        </w:rPr>
        <w:t>万元，支出决算为</w:t>
      </w:r>
      <w:r>
        <w:rPr>
          <w:rFonts w:hint="eastAsia" w:ascii="仿宋_GB2312" w:hAnsi="ˎ̥" w:eastAsia="仿宋_GB2312" w:cs="仿宋_GB2312"/>
          <w:sz w:val="32"/>
          <w:szCs w:val="32"/>
          <w:lang w:val="en-US" w:eastAsia="zh-CN"/>
        </w:rPr>
        <w:t>14.13</w:t>
      </w:r>
      <w:r>
        <w:rPr>
          <w:rFonts w:hint="eastAsia" w:ascii="仿宋_GB2312" w:hAnsi="ˎ̥" w:eastAsia="仿宋_GB2312" w:cs="仿宋_GB2312"/>
          <w:sz w:val="32"/>
          <w:szCs w:val="32"/>
        </w:rPr>
        <w:t>万元，完成年初预算的</w:t>
      </w:r>
      <w:r>
        <w:rPr>
          <w:rFonts w:hint="eastAsia" w:ascii="仿宋_GB2312" w:hAnsi="ˎ̥" w:eastAsia="仿宋_GB2312" w:cs="仿宋_GB2312"/>
          <w:sz w:val="32"/>
          <w:szCs w:val="32"/>
          <w:lang w:val="en-US" w:eastAsia="zh-CN"/>
        </w:rPr>
        <w:t>100</w:t>
      </w:r>
      <w:r>
        <w:rPr>
          <w:rFonts w:hint="eastAsia" w:ascii="仿宋_GB2312" w:hAnsi="ˎ̥" w:eastAsia="仿宋_GB2312" w:cs="仿宋_GB2312"/>
          <w:sz w:val="32"/>
          <w:szCs w:val="32"/>
        </w:rPr>
        <w:t>%，</w:t>
      </w:r>
      <w:r>
        <w:rPr>
          <w:rFonts w:hint="eastAsia" w:ascii="仿宋_GB2312" w:hAnsi="ˎ̥" w:eastAsia="仿宋_GB2312" w:cs="仿宋_GB2312"/>
          <w:sz w:val="32"/>
          <w:szCs w:val="32"/>
          <w:lang w:eastAsia="zh-CN"/>
        </w:rPr>
        <w:t>决算数与预算数基本持平。</w:t>
      </w:r>
    </w:p>
    <w:p>
      <w:pPr>
        <w:ind w:firstLine="964" w:firstLineChars="300"/>
        <w:rPr>
          <w:rFonts w:hint="eastAsia" w:ascii="仿宋_GB2312" w:hAnsi="ˎ̥" w:eastAsia="仿宋_GB2312"/>
          <w:color w:val="000000"/>
          <w:sz w:val="32"/>
          <w:szCs w:val="32"/>
          <w:highlight w:val="none"/>
        </w:rPr>
      </w:pPr>
      <w:r>
        <w:rPr>
          <w:rFonts w:hint="eastAsia" w:ascii="仿宋_GB2312" w:hAnsi="ˎ̥" w:eastAsia="仿宋_GB2312" w:cs="仿宋_GB2312"/>
          <w:b/>
          <w:sz w:val="32"/>
          <w:szCs w:val="32"/>
          <w:highlight w:val="none"/>
          <w:lang w:val="en-US" w:eastAsia="zh-CN"/>
        </w:rPr>
        <w:t>4.</w:t>
      </w:r>
      <w:r>
        <w:rPr>
          <w:rFonts w:hint="eastAsia" w:ascii="仿宋_GB2312" w:hAnsi="ˎ̥" w:eastAsia="仿宋_GB2312"/>
          <w:b/>
          <w:sz w:val="32"/>
          <w:szCs w:val="32"/>
          <w:highlight w:val="none"/>
        </w:rPr>
        <w:t>公共安全（类）检察（款）其他检察支出（项）</w:t>
      </w:r>
    </w:p>
    <w:p>
      <w:pPr>
        <w:ind w:firstLine="640" w:firstLineChars="200"/>
        <w:rPr>
          <w:rFonts w:hint="eastAsia" w:ascii="仿宋_GB2312" w:hAnsi="ˎ̥" w:eastAsia="仿宋_GB2312" w:cs="仿宋_GB2312"/>
          <w:sz w:val="32"/>
          <w:szCs w:val="32"/>
          <w:lang w:eastAsia="zh-CN"/>
        </w:rPr>
      </w:pPr>
      <w:r>
        <w:rPr>
          <w:rFonts w:hint="eastAsia" w:ascii="仿宋_GB2312" w:hAnsi="ˎ̥" w:eastAsia="仿宋_GB2312" w:cs="仿宋_GB2312"/>
          <w:sz w:val="32"/>
          <w:szCs w:val="32"/>
        </w:rPr>
        <w:t>年初预算为</w:t>
      </w:r>
      <w:r>
        <w:rPr>
          <w:rFonts w:hint="eastAsia" w:ascii="仿宋_GB2312" w:hAnsi="ˎ̥" w:eastAsia="仿宋_GB2312" w:cs="仿宋_GB2312"/>
          <w:sz w:val="32"/>
          <w:szCs w:val="32"/>
          <w:lang w:val="en-US" w:eastAsia="zh-CN"/>
        </w:rPr>
        <w:t>:347.6</w:t>
      </w:r>
      <w:r>
        <w:rPr>
          <w:rFonts w:hint="eastAsia" w:ascii="仿宋_GB2312" w:hAnsi="ˎ̥" w:eastAsia="仿宋_GB2312" w:cs="仿宋_GB2312"/>
          <w:sz w:val="32"/>
          <w:szCs w:val="32"/>
        </w:rPr>
        <w:t>万元，支出决算为</w:t>
      </w:r>
      <w:r>
        <w:rPr>
          <w:rFonts w:hint="eastAsia" w:ascii="仿宋_GB2312" w:hAnsi="ˎ̥" w:eastAsia="仿宋_GB2312" w:cs="仿宋_GB2312"/>
          <w:sz w:val="32"/>
          <w:szCs w:val="32"/>
          <w:lang w:val="en-US" w:eastAsia="zh-CN"/>
        </w:rPr>
        <w:t>381.34</w:t>
      </w:r>
      <w:r>
        <w:rPr>
          <w:rFonts w:hint="eastAsia" w:ascii="仿宋_GB2312" w:hAnsi="ˎ̥" w:eastAsia="仿宋_GB2312" w:cs="仿宋_GB2312"/>
          <w:sz w:val="32"/>
          <w:szCs w:val="32"/>
        </w:rPr>
        <w:t>万元，完成年初预算的1</w:t>
      </w:r>
      <w:r>
        <w:rPr>
          <w:rFonts w:hint="eastAsia" w:ascii="仿宋_GB2312" w:hAnsi="ˎ̥" w:eastAsia="仿宋_GB2312" w:cs="仿宋_GB2312"/>
          <w:sz w:val="32"/>
          <w:szCs w:val="32"/>
          <w:lang w:val="en-US" w:eastAsia="zh-CN"/>
        </w:rPr>
        <w:t>09</w:t>
      </w:r>
      <w:r>
        <w:rPr>
          <w:rFonts w:hint="eastAsia" w:ascii="仿宋_GB2312" w:hAnsi="ˎ̥" w:eastAsia="仿宋_GB2312" w:cs="仿宋_GB2312"/>
          <w:sz w:val="32"/>
          <w:szCs w:val="32"/>
        </w:rPr>
        <w:t>.</w:t>
      </w:r>
      <w:r>
        <w:rPr>
          <w:rFonts w:hint="eastAsia" w:ascii="仿宋_GB2312" w:hAnsi="ˎ̥" w:eastAsia="仿宋_GB2312" w:cs="仿宋_GB2312"/>
          <w:sz w:val="32"/>
          <w:szCs w:val="32"/>
          <w:lang w:val="en-US" w:eastAsia="zh-CN"/>
        </w:rPr>
        <w:t>70</w:t>
      </w:r>
      <w:r>
        <w:rPr>
          <w:rFonts w:hint="eastAsia" w:ascii="仿宋_GB2312" w:hAnsi="ˎ̥" w:eastAsia="仿宋_GB2312" w:cs="仿宋_GB2312"/>
          <w:sz w:val="32"/>
          <w:szCs w:val="32"/>
        </w:rPr>
        <w:t>%，</w:t>
      </w:r>
      <w:r>
        <w:rPr>
          <w:rFonts w:hint="eastAsia" w:ascii="仿宋_GB2312" w:hAnsi="ˎ̥" w:eastAsia="仿宋_GB2312" w:cs="仿宋_GB2312"/>
          <w:sz w:val="32"/>
          <w:szCs w:val="32"/>
          <w:lang w:eastAsia="zh-CN"/>
        </w:rPr>
        <w:t>决算数大于预算数的主要原因是：上年结转结余资金支出。</w:t>
      </w:r>
    </w:p>
    <w:p>
      <w:pPr>
        <w:ind w:firstLine="643" w:firstLineChars="200"/>
        <w:rPr>
          <w:rFonts w:hint="eastAsia" w:ascii="仿宋_GB2312" w:hAnsi="ˎ̥" w:eastAsia="仿宋_GB2312" w:cs="仿宋_GB2312"/>
          <w:sz w:val="32"/>
          <w:szCs w:val="32"/>
          <w:lang w:eastAsia="zh-CN"/>
        </w:rPr>
      </w:pPr>
      <w:r>
        <w:rPr>
          <w:rFonts w:hint="eastAsia" w:ascii="仿宋_GB2312" w:hAnsi="ˎ̥" w:eastAsia="仿宋_GB2312" w:cs="仿宋_GB2312"/>
          <w:b/>
          <w:sz w:val="32"/>
          <w:szCs w:val="32"/>
        </w:rPr>
        <w:t xml:space="preserve"> </w:t>
      </w:r>
      <w:r>
        <w:rPr>
          <w:rFonts w:hint="eastAsia" w:ascii="仿宋_GB2312" w:hAnsi="ˎ̥" w:eastAsia="仿宋_GB2312" w:cs="仿宋_GB2312"/>
          <w:b/>
          <w:sz w:val="32"/>
          <w:szCs w:val="32"/>
          <w:lang w:val="en-US" w:eastAsia="zh-CN"/>
        </w:rPr>
        <w:t>5.</w:t>
      </w:r>
      <w:r>
        <w:rPr>
          <w:rFonts w:hint="eastAsia" w:ascii="仿宋_GB2312" w:hAnsi="ˎ̥" w:eastAsia="仿宋_GB2312" w:cs="仿宋_GB2312"/>
          <w:b/>
          <w:sz w:val="32"/>
          <w:szCs w:val="32"/>
        </w:rPr>
        <w:t>社会保障和就业（类）行政事业单位离退休（款）归口管理的行政单位离退休（项）。</w:t>
      </w:r>
      <w:r>
        <w:rPr>
          <w:rFonts w:hint="eastAsia" w:ascii="仿宋_GB2312" w:hAnsi="ˎ̥" w:eastAsia="仿宋_GB2312" w:cs="仿宋_GB2312"/>
          <w:sz w:val="32"/>
          <w:szCs w:val="32"/>
        </w:rPr>
        <w:t>年初预算为68.</w:t>
      </w:r>
      <w:r>
        <w:rPr>
          <w:rFonts w:hint="eastAsia" w:ascii="仿宋_GB2312" w:hAnsi="ˎ̥" w:eastAsia="仿宋_GB2312" w:cs="仿宋_GB2312"/>
          <w:sz w:val="32"/>
          <w:szCs w:val="32"/>
          <w:lang w:val="en-US" w:eastAsia="zh-CN"/>
        </w:rPr>
        <w:t>16</w:t>
      </w:r>
      <w:r>
        <w:rPr>
          <w:rFonts w:hint="eastAsia" w:ascii="仿宋_GB2312" w:hAnsi="ˎ̥" w:eastAsia="仿宋_GB2312" w:cs="仿宋_GB2312"/>
          <w:sz w:val="32"/>
          <w:szCs w:val="32"/>
        </w:rPr>
        <w:t>万元，支出决算为</w:t>
      </w:r>
      <w:r>
        <w:rPr>
          <w:rFonts w:hint="eastAsia" w:ascii="仿宋_GB2312" w:hAnsi="ˎ̥" w:eastAsia="仿宋_GB2312" w:cs="仿宋_GB2312"/>
          <w:sz w:val="32"/>
          <w:szCs w:val="32"/>
          <w:lang w:val="en-US" w:eastAsia="zh-CN"/>
        </w:rPr>
        <w:t>60.82</w:t>
      </w:r>
      <w:r>
        <w:rPr>
          <w:rFonts w:hint="eastAsia" w:ascii="仿宋_GB2312" w:hAnsi="ˎ̥" w:eastAsia="仿宋_GB2312" w:cs="仿宋_GB2312"/>
          <w:sz w:val="32"/>
          <w:szCs w:val="32"/>
        </w:rPr>
        <w:t>万元，完成年初预算的</w:t>
      </w:r>
      <w:r>
        <w:rPr>
          <w:rFonts w:hint="eastAsia" w:ascii="仿宋_GB2312" w:hAnsi="ˎ̥" w:eastAsia="仿宋_GB2312" w:cs="仿宋_GB2312"/>
          <w:sz w:val="32"/>
          <w:szCs w:val="32"/>
          <w:lang w:val="en-US" w:eastAsia="zh-CN"/>
        </w:rPr>
        <w:t>89.23</w:t>
      </w:r>
      <w:r>
        <w:rPr>
          <w:rFonts w:hint="eastAsia" w:ascii="仿宋_GB2312" w:hAnsi="ˎ̥" w:eastAsia="仿宋_GB2312" w:cs="仿宋_GB2312"/>
          <w:sz w:val="32"/>
          <w:szCs w:val="32"/>
        </w:rPr>
        <w:t>%，</w:t>
      </w:r>
      <w:r>
        <w:rPr>
          <w:rFonts w:hint="eastAsia" w:ascii="仿宋_GB2312" w:hAnsi="ˎ̥" w:eastAsia="仿宋_GB2312" w:cs="仿宋_GB2312"/>
          <w:sz w:val="32"/>
          <w:szCs w:val="32"/>
          <w:lang w:eastAsia="zh-CN"/>
        </w:rPr>
        <w:t>决算数小于预算数的主要原因是：人员调动减少。</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6</w:t>
      </w:r>
      <w:r>
        <w:rPr>
          <w:rFonts w:hint="eastAsia" w:ascii="仿宋_GB2312" w:hAnsi="ˎ̥" w:eastAsia="仿宋_GB2312"/>
          <w:b/>
          <w:sz w:val="32"/>
          <w:szCs w:val="32"/>
        </w:rPr>
        <w:t>.社会保障和就业（类）行政事业单位养老（款）机关事业单位职业年金缴费支出（项）</w:t>
      </w:r>
    </w:p>
    <w:p>
      <w:p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rPr>
        <w:t>年初预算为0万元，支出决算为</w:t>
      </w:r>
      <w:r>
        <w:rPr>
          <w:rFonts w:hint="eastAsia" w:ascii="仿宋_GB2312" w:hAnsi="ˎ̥" w:eastAsia="仿宋_GB2312"/>
          <w:color w:val="000000"/>
          <w:sz w:val="32"/>
          <w:szCs w:val="32"/>
          <w:lang w:val="en-US" w:eastAsia="zh-CN"/>
        </w:rPr>
        <w:t>20.39</w:t>
      </w:r>
      <w:r>
        <w:rPr>
          <w:rFonts w:hint="eastAsia" w:ascii="仿宋_GB2312" w:hAnsi="ˎ̥" w:eastAsia="仿宋_GB2312"/>
          <w:color w:val="000000"/>
          <w:sz w:val="32"/>
          <w:szCs w:val="32"/>
        </w:rPr>
        <w:t>万元。决算数大于预算数的主要原因是：</w:t>
      </w:r>
      <w:r>
        <w:rPr>
          <w:rFonts w:hint="eastAsia" w:ascii="仿宋_GB2312" w:hAnsi="ˎ̥" w:eastAsia="仿宋_GB2312"/>
          <w:color w:val="000000"/>
          <w:sz w:val="32"/>
          <w:szCs w:val="32"/>
          <w:lang w:eastAsia="zh-CN"/>
        </w:rPr>
        <w:t>追加补缴历年</w:t>
      </w:r>
      <w:r>
        <w:rPr>
          <w:rFonts w:hint="eastAsia" w:ascii="仿宋_GB2312" w:hAnsi="ˎ̥" w:eastAsia="仿宋_GB2312"/>
          <w:color w:val="000000"/>
          <w:sz w:val="32"/>
          <w:szCs w:val="32"/>
          <w:lang w:val="en-US" w:eastAsia="zh-CN"/>
        </w:rPr>
        <w:t>8名</w:t>
      </w:r>
      <w:r>
        <w:rPr>
          <w:rFonts w:hint="eastAsia" w:ascii="仿宋_GB2312" w:hAnsi="ˎ̥" w:eastAsia="仿宋_GB2312"/>
          <w:color w:val="000000"/>
          <w:sz w:val="32"/>
          <w:szCs w:val="32"/>
          <w:lang w:eastAsia="zh-CN"/>
        </w:rPr>
        <w:t>退休人员财政负担部分职业年金。</w:t>
      </w:r>
    </w:p>
    <w:p>
      <w:pPr>
        <w:numPr>
          <w:ilvl w:val="0"/>
          <w:numId w:val="3"/>
        </w:numPr>
        <w:ind w:firstLine="643" w:firstLineChars="200"/>
        <w:rPr>
          <w:rFonts w:hint="eastAsia" w:ascii="仿宋_GB2312" w:hAnsi="ˎ̥" w:eastAsia="仿宋_GB2312"/>
          <w:b/>
          <w:sz w:val="32"/>
          <w:szCs w:val="32"/>
        </w:rPr>
      </w:pPr>
      <w:r>
        <w:rPr>
          <w:rFonts w:hint="eastAsia" w:ascii="仿宋_GB2312" w:hAnsi="ˎ̥" w:eastAsia="仿宋_GB2312"/>
          <w:b/>
          <w:sz w:val="32"/>
          <w:szCs w:val="32"/>
        </w:rPr>
        <w:t>社会保障和就业（类）行政事业单位养老（款）其他优抚支出（项）</w:t>
      </w:r>
    </w:p>
    <w:p>
      <w:pPr>
        <w:numPr>
          <w:ilvl w:val="0"/>
          <w:numId w:val="0"/>
        </w:numPr>
        <w:ind w:firstLine="640" w:firstLineChars="200"/>
        <w:rPr>
          <w:rFonts w:hint="eastAsia" w:ascii="仿宋_GB2312" w:hAnsi="ˎ̥" w:eastAsia="仿宋_GB2312"/>
          <w:color w:val="000000"/>
          <w:sz w:val="32"/>
          <w:szCs w:val="32"/>
          <w:lang w:eastAsia="zh-CN"/>
        </w:rPr>
      </w:pP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0.55</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0.55</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完成年初预算的</w:t>
      </w:r>
      <w:r>
        <w:rPr>
          <w:rFonts w:hint="eastAsia" w:ascii="仿宋_GB2312" w:hAnsi="ˎ̥" w:eastAsia="仿宋_GB2312"/>
          <w:color w:val="000000"/>
          <w:sz w:val="32"/>
          <w:szCs w:val="32"/>
          <w:lang w:val="en-US" w:eastAsia="zh-CN"/>
        </w:rPr>
        <w:t>100%。决算数与预算数基本一致。</w:t>
      </w:r>
    </w:p>
    <w:p>
      <w:pPr>
        <w:shd w:val="clear" w:color="auto" w:fill="FFFFFF"/>
        <w:spacing w:before="100" w:beforeLines="0" w:beforeAutospacing="1" w:after="100" w:afterLines="0" w:afterAutospacing="1" w:line="560" w:lineRule="exact"/>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8</w:t>
      </w:r>
      <w:r>
        <w:rPr>
          <w:rFonts w:hint="eastAsia" w:ascii="仿宋_GB2312" w:hAnsi="ˎ̥" w:eastAsia="仿宋_GB2312"/>
          <w:b/>
          <w:sz w:val="32"/>
          <w:szCs w:val="32"/>
        </w:rPr>
        <w:t>.卫生健康（类）行政事业单位医疗（款）行政单位医疗（项）</w:t>
      </w:r>
    </w:p>
    <w:p>
      <w:pPr>
        <w:shd w:val="clear" w:color="auto" w:fill="FFFFFF"/>
        <w:spacing w:before="100" w:beforeLines="0" w:beforeAutospacing="1" w:after="100" w:afterLines="0" w:afterAutospacing="1" w:line="560" w:lineRule="exact"/>
        <w:ind w:firstLine="640" w:firstLineChars="200"/>
        <w:rPr>
          <w:rFonts w:hint="eastAsia" w:ascii="仿宋_GB2312" w:hAnsi="宋体" w:eastAsia="仿宋_GB2312" w:cs="仿宋_GB2312"/>
          <w:color w:val="000000"/>
          <w:kern w:val="0"/>
          <w:sz w:val="32"/>
          <w:szCs w:val="32"/>
          <w:lang w:eastAsia="zh-CN"/>
        </w:rPr>
      </w:pPr>
      <w:r>
        <w:rPr>
          <w:rFonts w:hint="eastAsia" w:ascii="仿宋_GB2312" w:eastAsia="仿宋_GB2312" w:cs="仿宋_GB2312"/>
          <w:color w:val="000000"/>
          <w:sz w:val="32"/>
          <w:szCs w:val="32"/>
        </w:rPr>
        <w:t>年初预算安排</w:t>
      </w:r>
      <w:r>
        <w:rPr>
          <w:rFonts w:hint="eastAsia" w:ascii="仿宋_GB2312" w:eastAsia="仿宋_GB2312" w:cs="仿宋_GB2312"/>
          <w:color w:val="000000"/>
          <w:sz w:val="32"/>
          <w:szCs w:val="32"/>
          <w:lang w:val="en-US" w:eastAsia="zh-CN"/>
        </w:rPr>
        <w:t>36.21</w:t>
      </w:r>
      <w:r>
        <w:rPr>
          <w:rFonts w:hint="eastAsia" w:ascii="仿宋_GB2312" w:eastAsia="仿宋_GB2312" w:cs="仿宋_GB2312"/>
          <w:color w:val="000000"/>
          <w:sz w:val="32"/>
          <w:szCs w:val="32"/>
        </w:rPr>
        <w:t>万元，支出决算数为</w:t>
      </w:r>
      <w:r>
        <w:rPr>
          <w:rFonts w:hint="eastAsia" w:ascii="仿宋_GB2312" w:eastAsia="仿宋_GB2312" w:cs="仿宋_GB2312"/>
          <w:color w:val="000000"/>
          <w:sz w:val="32"/>
          <w:szCs w:val="32"/>
          <w:lang w:val="en-US" w:eastAsia="zh-CN"/>
        </w:rPr>
        <w:t>32.15</w:t>
      </w:r>
      <w:r>
        <w:rPr>
          <w:rFonts w:hint="eastAsia" w:ascii="仿宋_GB2312" w:eastAsia="仿宋_GB2312" w:cs="仿宋_GB2312"/>
          <w:color w:val="000000"/>
          <w:sz w:val="32"/>
          <w:szCs w:val="32"/>
        </w:rPr>
        <w:t>万元，完成预算数</w:t>
      </w:r>
      <w:r>
        <w:rPr>
          <w:rFonts w:hint="eastAsia" w:ascii="仿宋_GB2312" w:eastAsia="仿宋_GB2312" w:cs="仿宋_GB2312"/>
          <w:color w:val="000000"/>
          <w:sz w:val="32"/>
          <w:szCs w:val="32"/>
          <w:lang w:val="en-US" w:eastAsia="zh-CN"/>
        </w:rPr>
        <w:t>88.78</w:t>
      </w:r>
      <w:r>
        <w:rPr>
          <w:rFonts w:hint="eastAsia" w:ascii="仿宋_GB2312" w:eastAsia="仿宋_GB2312" w:cs="仿宋_GB2312"/>
          <w:color w:val="000000"/>
          <w:sz w:val="32"/>
          <w:szCs w:val="32"/>
        </w:rPr>
        <w:t>%，决算数小于预算数的原因为：</w:t>
      </w:r>
      <w:r>
        <w:rPr>
          <w:rFonts w:hint="eastAsia" w:ascii="仿宋_GB2312" w:eastAsia="仿宋_GB2312" w:cs="仿宋_GB2312"/>
          <w:color w:val="000000"/>
          <w:sz w:val="32"/>
          <w:szCs w:val="32"/>
          <w:lang w:eastAsia="zh-CN"/>
        </w:rPr>
        <w:t>人员调动走。</w:t>
      </w:r>
    </w:p>
    <w:p>
      <w:pPr>
        <w:shd w:val="clear" w:color="auto" w:fill="FFFFFF"/>
        <w:spacing w:before="100" w:beforeLines="0" w:beforeAutospacing="1" w:after="100" w:afterLines="0" w:afterAutospacing="1" w:line="560" w:lineRule="exact"/>
        <w:ind w:firstLine="643" w:firstLineChars="200"/>
        <w:rPr>
          <w:rFonts w:hint="eastAsia" w:ascii="仿宋_GB2312" w:hAnsi="宋体" w:eastAsia="仿宋_GB2312" w:cs="仿宋_GB2312"/>
          <w:color w:val="000000"/>
          <w:kern w:val="0"/>
          <w:sz w:val="32"/>
          <w:szCs w:val="32"/>
          <w:highlight w:val="yellow"/>
        </w:rPr>
      </w:pPr>
      <w:r>
        <w:rPr>
          <w:rFonts w:hint="eastAsia" w:ascii="仿宋_GB2312" w:hAnsi="ˎ̥" w:eastAsia="仿宋_GB2312"/>
          <w:b/>
          <w:sz w:val="32"/>
          <w:szCs w:val="32"/>
          <w:lang w:val="en-US" w:eastAsia="zh-CN"/>
        </w:rPr>
        <w:t>9</w:t>
      </w:r>
      <w:r>
        <w:rPr>
          <w:rFonts w:hint="eastAsia" w:ascii="仿宋_GB2312" w:hAnsi="ˎ̥" w:eastAsia="仿宋_GB2312"/>
          <w:b/>
          <w:sz w:val="32"/>
          <w:szCs w:val="32"/>
        </w:rPr>
        <w:t>.卫生健康（类）行政事业单位医疗（款）公务员医疗补助（项）</w:t>
      </w:r>
    </w:p>
    <w:p>
      <w:pPr>
        <w:shd w:val="clear" w:color="auto" w:fill="FFFFFF"/>
        <w:spacing w:before="100" w:beforeLines="0" w:beforeAutospacing="1" w:after="100" w:afterLines="0" w:afterAutospacing="1" w:line="560" w:lineRule="exact"/>
        <w:ind w:firstLine="640" w:firstLineChars="200"/>
        <w:rPr>
          <w:rFonts w:hint="eastAsia" w:ascii="仿宋_GB2312" w:eastAsia="仿宋_GB2312" w:cs="仿宋_GB2312"/>
          <w:color w:val="000000"/>
          <w:sz w:val="32"/>
          <w:szCs w:val="32"/>
          <w:lang w:val="en-US" w:eastAsia="zh-CN"/>
        </w:rPr>
      </w:pPr>
      <w:r>
        <w:rPr>
          <w:rFonts w:hint="eastAsia" w:ascii="仿宋_GB2312" w:hAnsi="ˎ̥" w:eastAsia="仿宋_GB2312"/>
          <w:color w:val="000000"/>
          <w:sz w:val="32"/>
          <w:szCs w:val="32"/>
        </w:rPr>
        <w:t>年初预算为</w:t>
      </w:r>
      <w:r>
        <w:rPr>
          <w:rFonts w:hint="eastAsia" w:ascii="仿宋_GB2312" w:hAnsi="ˎ̥" w:eastAsia="仿宋_GB2312"/>
          <w:color w:val="000000"/>
          <w:sz w:val="32"/>
          <w:szCs w:val="32"/>
          <w:lang w:val="en-US" w:eastAsia="zh-CN"/>
        </w:rPr>
        <w:t>50.87</w:t>
      </w:r>
      <w:r>
        <w:rPr>
          <w:rFonts w:hint="eastAsia" w:ascii="仿宋_GB2312" w:hAnsi="ˎ̥" w:eastAsia="仿宋_GB2312"/>
          <w:color w:val="000000"/>
          <w:sz w:val="32"/>
          <w:szCs w:val="32"/>
        </w:rPr>
        <w:t>万元，支出决算为</w:t>
      </w:r>
      <w:r>
        <w:rPr>
          <w:rFonts w:hint="eastAsia" w:ascii="仿宋_GB2312" w:hAnsi="ˎ̥" w:eastAsia="仿宋_GB2312"/>
          <w:color w:val="000000"/>
          <w:sz w:val="32"/>
          <w:szCs w:val="32"/>
          <w:lang w:val="en-US" w:eastAsia="zh-CN"/>
        </w:rPr>
        <w:t>92.78</w:t>
      </w:r>
      <w:r>
        <w:rPr>
          <w:rFonts w:hint="eastAsia" w:ascii="仿宋_GB2312" w:hAnsi="ˎ̥" w:eastAsia="仿宋_GB2312"/>
          <w:color w:val="000000"/>
          <w:sz w:val="32"/>
          <w:szCs w:val="32"/>
        </w:rPr>
        <w:t>万元，完成年初预算的</w:t>
      </w:r>
      <w:r>
        <w:rPr>
          <w:rFonts w:hint="eastAsia" w:ascii="仿宋_GB2312" w:hAnsi="ˎ̥" w:eastAsia="仿宋_GB2312"/>
          <w:color w:val="000000"/>
          <w:sz w:val="32"/>
          <w:szCs w:val="32"/>
          <w:lang w:val="en-US" w:eastAsia="zh-CN"/>
        </w:rPr>
        <w:t>182.38</w:t>
      </w:r>
      <w:r>
        <w:rPr>
          <w:rFonts w:hint="eastAsia" w:ascii="仿宋_GB2312" w:hAnsi="ˎ̥" w:eastAsia="仿宋_GB2312"/>
          <w:color w:val="000000"/>
          <w:sz w:val="32"/>
          <w:szCs w:val="32"/>
        </w:rPr>
        <w:t>%。决算数大于预算数的主要原因：我院干警正常晋升及退休人员工资增加，</w:t>
      </w:r>
      <w:r>
        <w:rPr>
          <w:rFonts w:hint="eastAsia" w:ascii="仿宋_GB2312" w:hAnsi="宋体" w:eastAsia="仿宋_GB2312" w:cs="仿宋_GB2312"/>
          <w:color w:val="000000"/>
          <w:kern w:val="0"/>
          <w:sz w:val="32"/>
          <w:szCs w:val="32"/>
        </w:rPr>
        <w:t>公务员医疗补助缴费基数上调</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 xml:space="preserve">     </w:t>
      </w:r>
    </w:p>
    <w:p>
      <w:pPr>
        <w:shd w:val="clear" w:color="auto" w:fill="FFFFFF"/>
        <w:spacing w:before="100" w:beforeLines="0" w:beforeAutospacing="1" w:after="100" w:afterLines="0" w:afterAutospacing="1" w:line="560" w:lineRule="exact"/>
        <w:ind w:firstLine="643" w:firstLineChars="200"/>
        <w:rPr>
          <w:rFonts w:hint="eastAsia" w:ascii="仿宋_GB2312" w:hAnsi="ˎ̥" w:eastAsia="仿宋_GB2312" w:cs="仿宋_GB2312"/>
          <w:color w:val="000000"/>
          <w:sz w:val="32"/>
          <w:szCs w:val="32"/>
        </w:rPr>
      </w:pPr>
      <w:r>
        <w:rPr>
          <w:rFonts w:hint="eastAsia" w:ascii="仿宋_GB2312" w:hAnsi="ˎ̥" w:eastAsia="仿宋_GB2312" w:cs="仿宋_GB2312"/>
          <w:b/>
          <w:color w:val="000000"/>
          <w:sz w:val="32"/>
          <w:szCs w:val="32"/>
          <w:lang w:val="en-US" w:eastAsia="zh-CN"/>
        </w:rPr>
        <w:t>10</w:t>
      </w:r>
      <w:r>
        <w:rPr>
          <w:rFonts w:hint="eastAsia" w:ascii="仿宋_GB2312" w:hAnsi="ˎ̥" w:eastAsia="仿宋_GB2312" w:cs="仿宋_GB2312"/>
          <w:b/>
          <w:color w:val="000000"/>
          <w:sz w:val="32"/>
          <w:szCs w:val="32"/>
        </w:rPr>
        <w:t>.住房保障（类）住房改革支出（款）住房公积金（项）。</w:t>
      </w:r>
      <w:r>
        <w:rPr>
          <w:rFonts w:hint="eastAsia" w:ascii="仿宋_GB2312" w:hAnsi="ˎ̥" w:eastAsia="仿宋_GB2312" w:cs="仿宋_GB2312"/>
          <w:color w:val="000000"/>
          <w:sz w:val="32"/>
          <w:szCs w:val="32"/>
        </w:rPr>
        <w:t>年初预算为61.00万元，支出决算为66.41万元，完成年初预算的108.87%，决算数与预算数基本一致。</w:t>
      </w:r>
    </w:p>
    <w:p>
      <w:pPr>
        <w:ind w:firstLine="620" w:firstLineChars="194"/>
        <w:rPr>
          <w:rFonts w:ascii="黑体" w:hAnsi="宋体" w:eastAsia="黑体" w:cs="黑体"/>
          <w:sz w:val="32"/>
          <w:szCs w:val="32"/>
        </w:rPr>
      </w:pPr>
      <w:r>
        <w:rPr>
          <w:rFonts w:hint="eastAsia" w:ascii="黑体" w:hAnsi="宋体" w:eastAsia="黑体" w:cs="黑体"/>
          <w:bCs/>
          <w:sz w:val="32"/>
          <w:szCs w:val="32"/>
        </w:rPr>
        <w:t>六、一般公共预算财政拨款基本支出决算情况说明。</w:t>
      </w:r>
    </w:p>
    <w:p>
      <w:pPr>
        <w:tabs>
          <w:tab w:val="center" w:pos="4473"/>
        </w:tabs>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2020年度财政拨款基本支出1225.63万元，其中：人员经费927.43万元，主要包括：基本工资、津贴补贴、社会保障缴费、职业年金缴费、伙食费、伙食补助费、绩效工资、其他工资福利支出等、离休费、退休费、生活补助、奖励金、医疗费、住房公积金、其他对个人和家庭的补助支出等。公用经费298.20万元，主要包括：</w:t>
      </w:r>
      <w:r>
        <w:rPr>
          <w:rFonts w:hint="eastAsia" w:ascii="仿宋_GB2312" w:hAnsi="ˎ̥" w:eastAsia="仿宋_GB2312" w:cs="仿宋_GB2312"/>
          <w:color w:val="000000"/>
          <w:sz w:val="32"/>
          <w:szCs w:val="32"/>
        </w:rPr>
        <w:t>办公费、印刷费、手续费、水费、电费、邮电费、物业管理费、差旅费、维修（护）费、租赁费、会议费、培训费、公务接待费、劳务费、工会经费、公务用车运行维护费、其他交通费用、其他商品和服务支出、办公设备购置、专用设备购置。</w:t>
      </w:r>
    </w:p>
    <w:p>
      <w:pPr>
        <w:tabs>
          <w:tab w:val="center" w:pos="4473"/>
        </w:tabs>
        <w:ind w:firstLine="620" w:firstLineChars="194"/>
        <w:rPr>
          <w:rFonts w:ascii="黑体" w:hAnsi="宋体" w:eastAsia="黑体" w:cs="黑体"/>
          <w:bCs/>
          <w:sz w:val="32"/>
          <w:szCs w:val="32"/>
        </w:rPr>
      </w:pPr>
      <w:r>
        <w:rPr>
          <w:rFonts w:hint="eastAsia" w:ascii="黑体" w:hAnsi="宋体" w:eastAsia="黑体" w:cs="黑体"/>
          <w:bCs/>
          <w:sz w:val="32"/>
          <w:szCs w:val="32"/>
        </w:rPr>
        <w:t>七、政府性基金预算财政拨款收入支出决算情况说明</w:t>
      </w:r>
    </w:p>
    <w:p>
      <w:pPr>
        <w:ind w:firstLine="640" w:firstLineChars="200"/>
        <w:rPr>
          <w:rFonts w:ascii="仿宋_GB2312" w:hAnsi="ˎ̥" w:eastAsia="仿宋_GB2312" w:cs="仿宋_GB2312"/>
          <w:color w:val="000000"/>
          <w:sz w:val="32"/>
          <w:szCs w:val="32"/>
        </w:rPr>
      </w:pPr>
      <w:r>
        <w:rPr>
          <w:rFonts w:hint="eastAsia" w:ascii="仿宋_GB2312" w:hAnsi="ˎ̥" w:eastAsia="仿宋_GB2312" w:cs="仿宋_GB2312"/>
          <w:color w:val="000000"/>
          <w:sz w:val="32"/>
          <w:szCs w:val="32"/>
        </w:rPr>
        <w:t>（一）政府性基金预算财政拨款支出决算总体情况。</w:t>
      </w:r>
    </w:p>
    <w:p>
      <w:pPr>
        <w:ind w:firstLine="640" w:firstLineChars="200"/>
        <w:rPr>
          <w:rFonts w:ascii="仿宋_GB2312" w:hAnsi="ˎ̥" w:eastAsia="仿宋_GB2312" w:cs="仿宋_GB2312"/>
          <w:color w:val="000000"/>
          <w:sz w:val="32"/>
          <w:szCs w:val="32"/>
        </w:rPr>
      </w:pPr>
      <w:r>
        <w:rPr>
          <w:rFonts w:hint="eastAsia" w:ascii="仿宋_GB2312" w:hAnsi="ˎ̥" w:eastAsia="仿宋_GB2312" w:cs="仿宋_GB2312"/>
          <w:color w:val="000000"/>
          <w:sz w:val="32"/>
          <w:szCs w:val="32"/>
        </w:rPr>
        <w:t>2020年度政府性基金预算财政拨款支出0万元，2019年度政府性基金预算财政拨款支出0万元。</w:t>
      </w:r>
    </w:p>
    <w:p>
      <w:pPr>
        <w:ind w:firstLine="640" w:firstLineChars="200"/>
        <w:rPr>
          <w:rFonts w:ascii="仿宋_GB2312" w:hAnsi="ˎ̥" w:eastAsia="仿宋_GB2312" w:cs="仿宋_GB2312"/>
          <w:color w:val="000000"/>
          <w:sz w:val="32"/>
          <w:szCs w:val="32"/>
        </w:rPr>
      </w:pPr>
      <w:r>
        <w:rPr>
          <w:rFonts w:hint="eastAsia" w:ascii="仿宋_GB2312" w:hAnsi="ˎ̥" w:eastAsia="仿宋_GB2312" w:cs="仿宋_GB2312"/>
          <w:color w:val="000000"/>
          <w:sz w:val="32"/>
          <w:szCs w:val="32"/>
        </w:rPr>
        <w:t>（二）政府性基金预算财政拨款支出决算结构情况。</w:t>
      </w:r>
    </w:p>
    <w:p>
      <w:pPr>
        <w:ind w:firstLine="640" w:firstLineChars="200"/>
        <w:rPr>
          <w:rFonts w:ascii="仿宋_GB2312" w:hAnsi="ˎ̥" w:eastAsia="仿宋_GB2312" w:cs="仿宋_GB2312"/>
          <w:color w:val="000000"/>
          <w:sz w:val="32"/>
          <w:szCs w:val="32"/>
        </w:rPr>
      </w:pPr>
      <w:r>
        <w:rPr>
          <w:rFonts w:hint="eastAsia" w:ascii="仿宋_GB2312" w:hAnsi="ˎ̥" w:eastAsia="仿宋_GB2312" w:cs="仿宋_GB2312"/>
          <w:color w:val="000000"/>
          <w:sz w:val="32"/>
          <w:szCs w:val="32"/>
        </w:rPr>
        <w:t xml:space="preserve">2020年度政府性基金预算财政拨款支出0万元。 </w:t>
      </w:r>
    </w:p>
    <w:p>
      <w:pPr>
        <w:ind w:firstLine="640" w:firstLineChars="200"/>
        <w:rPr>
          <w:rFonts w:ascii="仿宋_GB2312" w:hAnsi="ˎ̥" w:eastAsia="仿宋_GB2312" w:cs="仿宋_GB2312"/>
          <w:color w:val="000000"/>
          <w:sz w:val="32"/>
          <w:szCs w:val="32"/>
        </w:rPr>
      </w:pPr>
      <w:r>
        <w:rPr>
          <w:rFonts w:hint="eastAsia" w:ascii="仿宋_GB2312" w:hAnsi="ˎ̥" w:eastAsia="仿宋_GB2312" w:cs="仿宋_GB2312"/>
          <w:color w:val="000000"/>
          <w:sz w:val="32"/>
          <w:szCs w:val="32"/>
        </w:rPr>
        <w:t>（三）政府性基金预算财政拨款支出决算具体情况。</w:t>
      </w:r>
    </w:p>
    <w:p>
      <w:pPr>
        <w:ind w:firstLine="640" w:firstLineChars="200"/>
        <w:rPr>
          <w:rFonts w:ascii="仿宋_GB2312" w:hAnsi="ˎ̥" w:eastAsia="仿宋_GB2312" w:cs="仿宋_GB2312"/>
          <w:color w:val="000000"/>
          <w:sz w:val="32"/>
          <w:szCs w:val="32"/>
        </w:rPr>
      </w:pPr>
      <w:r>
        <w:rPr>
          <w:rFonts w:hint="eastAsia" w:ascii="仿宋_GB2312" w:hAnsi="ˎ̥" w:eastAsia="仿宋_GB2312" w:cs="仿宋_GB2312"/>
          <w:color w:val="000000"/>
          <w:sz w:val="32"/>
          <w:szCs w:val="32"/>
        </w:rPr>
        <w:t>2020年度政府性基金预算财政拨款支出年初预算为0万元，支出决算为0万元。</w:t>
      </w:r>
    </w:p>
    <w:p>
      <w:pPr>
        <w:tabs>
          <w:tab w:val="center" w:pos="4473"/>
        </w:tabs>
        <w:ind w:firstLine="624" w:firstLineChars="195"/>
        <w:rPr>
          <w:rFonts w:ascii="黑体" w:hAnsi="宋体" w:eastAsia="黑体" w:cs="黑体"/>
          <w:bCs/>
          <w:sz w:val="32"/>
          <w:szCs w:val="32"/>
        </w:rPr>
      </w:pPr>
      <w:r>
        <w:rPr>
          <w:rFonts w:hint="eastAsia" w:ascii="黑体" w:hAnsi="宋体" w:eastAsia="黑体" w:cs="黑体"/>
          <w:bCs/>
          <w:sz w:val="32"/>
          <w:szCs w:val="32"/>
        </w:rPr>
        <w:t>八、国有资本经营预算财政拨款支出决算情况说明</w:t>
      </w:r>
    </w:p>
    <w:p>
      <w:pPr>
        <w:ind w:firstLine="640" w:firstLineChars="200"/>
        <w:rPr>
          <w:rFonts w:ascii="仿宋_GB2312" w:hAnsi="ˎ̥" w:eastAsia="仿宋_GB2312" w:cs="仿宋_GB2312"/>
          <w:color w:val="000000"/>
          <w:sz w:val="32"/>
          <w:szCs w:val="32"/>
        </w:rPr>
      </w:pPr>
      <w:r>
        <w:rPr>
          <w:rFonts w:hint="eastAsia" w:ascii="仿宋_GB2312" w:hAnsi="ˎ̥" w:eastAsia="仿宋_GB2312" w:cs="仿宋_GB2312"/>
          <w:color w:val="000000"/>
          <w:sz w:val="32"/>
          <w:szCs w:val="32"/>
        </w:rPr>
        <w:t>（一）国有资本经营预算财政拨款支出决算总体情况。</w:t>
      </w:r>
    </w:p>
    <w:p>
      <w:pPr>
        <w:ind w:firstLine="640" w:firstLineChars="200"/>
        <w:rPr>
          <w:rFonts w:ascii="仿宋_GB2312" w:hAnsi="ˎ̥" w:eastAsia="仿宋_GB2312" w:cs="仿宋_GB2312"/>
          <w:color w:val="000000"/>
          <w:sz w:val="32"/>
          <w:szCs w:val="32"/>
        </w:rPr>
      </w:pPr>
      <w:r>
        <w:rPr>
          <w:rFonts w:hint="eastAsia" w:ascii="仿宋_GB2312" w:hAnsi="ˎ̥" w:eastAsia="仿宋_GB2312" w:cs="仿宋_GB2312"/>
          <w:color w:val="000000"/>
          <w:sz w:val="32"/>
          <w:szCs w:val="32"/>
        </w:rPr>
        <w:t>2020年度国有资本经营预算财政拨款支出0万元，2019年度国有资本经营预算财政拨款支出0万元。</w:t>
      </w:r>
    </w:p>
    <w:p>
      <w:pPr>
        <w:ind w:firstLine="640" w:firstLineChars="200"/>
        <w:rPr>
          <w:rFonts w:ascii="仿宋_GB2312" w:hAnsi="ˎ̥" w:eastAsia="仿宋_GB2312" w:cs="仿宋_GB2312"/>
          <w:color w:val="000000"/>
          <w:sz w:val="32"/>
          <w:szCs w:val="32"/>
        </w:rPr>
      </w:pPr>
      <w:r>
        <w:rPr>
          <w:rFonts w:hint="eastAsia" w:ascii="仿宋_GB2312" w:hAnsi="ˎ̥" w:eastAsia="仿宋_GB2312" w:cs="仿宋_GB2312"/>
          <w:color w:val="000000"/>
          <w:sz w:val="32"/>
          <w:szCs w:val="32"/>
        </w:rPr>
        <w:t>（二）国有资本经营预算财政拨款支出决算结构情况。</w:t>
      </w:r>
    </w:p>
    <w:p>
      <w:pPr>
        <w:ind w:firstLine="640" w:firstLineChars="200"/>
        <w:rPr>
          <w:rFonts w:ascii="仿宋_GB2312" w:hAnsi="ˎ̥" w:eastAsia="仿宋_GB2312" w:cs="仿宋_GB2312"/>
          <w:color w:val="000000"/>
          <w:sz w:val="32"/>
          <w:szCs w:val="32"/>
        </w:rPr>
      </w:pPr>
      <w:r>
        <w:rPr>
          <w:rFonts w:hint="eastAsia" w:ascii="仿宋_GB2312" w:hAnsi="ˎ̥" w:eastAsia="仿宋_GB2312" w:cs="仿宋_GB2312"/>
          <w:color w:val="000000"/>
          <w:sz w:val="32"/>
          <w:szCs w:val="32"/>
        </w:rPr>
        <w:t xml:space="preserve">2020年度国有资本经营预算财政拨款支出0万元。 </w:t>
      </w:r>
    </w:p>
    <w:p>
      <w:pPr>
        <w:ind w:firstLine="640" w:firstLineChars="200"/>
        <w:rPr>
          <w:rFonts w:ascii="仿宋_GB2312" w:hAnsi="ˎ̥" w:eastAsia="仿宋_GB2312" w:cs="仿宋_GB2312"/>
          <w:color w:val="000000"/>
          <w:sz w:val="32"/>
          <w:szCs w:val="32"/>
        </w:rPr>
      </w:pPr>
      <w:r>
        <w:rPr>
          <w:rFonts w:hint="eastAsia" w:ascii="仿宋_GB2312" w:hAnsi="ˎ̥" w:eastAsia="仿宋_GB2312" w:cs="仿宋_GB2312"/>
          <w:color w:val="000000"/>
          <w:sz w:val="32"/>
          <w:szCs w:val="32"/>
        </w:rPr>
        <w:t>（三）国有资本经营预算财政拨款支出决算具体情况。</w:t>
      </w:r>
    </w:p>
    <w:p>
      <w:pPr>
        <w:ind w:firstLine="640" w:firstLineChars="200"/>
        <w:rPr>
          <w:rFonts w:ascii="仿宋_GB2312" w:hAnsi="ˎ̥" w:eastAsia="仿宋_GB2312" w:cs="仿宋_GB2312"/>
          <w:color w:val="000000"/>
          <w:sz w:val="32"/>
          <w:szCs w:val="32"/>
        </w:rPr>
      </w:pPr>
      <w:r>
        <w:rPr>
          <w:rFonts w:hint="eastAsia" w:ascii="仿宋_GB2312" w:hAnsi="ˎ̥" w:eastAsia="仿宋_GB2312" w:cs="仿宋_GB2312"/>
          <w:color w:val="000000"/>
          <w:sz w:val="32"/>
          <w:szCs w:val="32"/>
        </w:rPr>
        <w:t>2020年度国有资本经营预算财政拨款支出年初预算为0万元，支出决算为0万元。</w:t>
      </w:r>
    </w:p>
    <w:p>
      <w:pPr>
        <w:ind w:left="409" w:leftChars="195"/>
        <w:rPr>
          <w:rFonts w:ascii="黑体" w:hAnsi="宋体" w:eastAsia="黑体" w:cs="黑体"/>
          <w:bCs/>
          <w:sz w:val="32"/>
          <w:szCs w:val="32"/>
        </w:rPr>
      </w:pPr>
      <w:r>
        <w:rPr>
          <w:rFonts w:hint="eastAsia" w:ascii="黑体" w:hAnsi="宋体" w:eastAsia="黑体" w:cs="黑体"/>
          <w:bCs/>
          <w:sz w:val="32"/>
          <w:szCs w:val="32"/>
        </w:rPr>
        <w:t>九、一般公共预算财政拨款“三公”经费支出决算情况说明</w:t>
      </w:r>
    </w:p>
    <w:p>
      <w:pPr>
        <w:ind w:left="409" w:leftChars="195"/>
        <w:rPr>
          <w:rFonts w:ascii="黑体" w:hAnsi="宋体" w:eastAsia="黑体" w:cs="黑体"/>
          <w:bCs/>
          <w:sz w:val="32"/>
          <w:szCs w:val="32"/>
        </w:rPr>
      </w:pPr>
    </w:p>
    <w:p>
      <w:pPr>
        <w:ind w:firstLine="643" w:firstLineChars="200"/>
        <w:rPr>
          <w:rFonts w:ascii="楷体" w:hAnsi="楷体" w:eastAsia="楷体" w:cs="楷体"/>
          <w:sz w:val="32"/>
          <w:szCs w:val="32"/>
        </w:rPr>
      </w:pPr>
      <w:r>
        <w:rPr>
          <w:rFonts w:hint="eastAsia" w:ascii="楷体" w:hAnsi="楷体" w:eastAsia="楷体" w:cs="楷体"/>
          <w:b/>
          <w:sz w:val="32"/>
          <w:szCs w:val="32"/>
        </w:rPr>
        <w:t>（一）一般公共预算财政拨款“三公”经费支出决算总体情况说明。</w:t>
      </w:r>
    </w:p>
    <w:p>
      <w:pPr>
        <w:shd w:val="clear" w:color="auto" w:fill="FFFFFF"/>
        <w:ind w:firstLine="640" w:firstLineChars="200"/>
        <w:rPr>
          <w:rFonts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2020年度一般公共预算财政拨款“三公”经费支出预算为14.2万元，支出决算为17.54万元，完成预算的123.52%，决算数大于预算数的主要原因：我院八辆公务用车中有7辆均为十年以上的老旧车辆，日常运行维护费用增加。</w:t>
      </w:r>
    </w:p>
    <w:p>
      <w:pPr>
        <w:rPr>
          <w:rFonts w:ascii="楷体" w:hAnsi="楷体" w:eastAsia="楷体" w:cs="楷体"/>
          <w:b/>
          <w:sz w:val="32"/>
          <w:szCs w:val="32"/>
        </w:rPr>
      </w:pPr>
      <w:r>
        <w:rPr>
          <w:rFonts w:hint="eastAsia" w:ascii="楷体" w:hAnsi="楷体" w:eastAsia="楷体" w:cs="楷体"/>
          <w:b/>
          <w:sz w:val="32"/>
          <w:szCs w:val="32"/>
        </w:rPr>
        <w:t xml:space="preserve">    （二）一般公共预算“三公”经费财政拨款支出决算具体情况说明。</w:t>
      </w:r>
    </w:p>
    <w:p>
      <w:pPr>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2020年度一般公共预算财政拨款“三公”经费支出决算中，因公出国（境）费支出决算0万元；公务用车购置及运行费支出决算16.54万元，占94.30%；公务接待费支出决算1.00万元，占5.70%。具体情况如下：</w:t>
      </w:r>
    </w:p>
    <w:p>
      <w:pPr>
        <w:ind w:firstLine="643" w:firstLineChars="200"/>
        <w:rPr>
          <w:rFonts w:hint="eastAsia" w:ascii="仿宋_GB2312" w:hAnsi="ˎ̥" w:eastAsia="仿宋_GB2312" w:cs="仿宋_GB2312"/>
          <w:sz w:val="32"/>
          <w:szCs w:val="32"/>
          <w:lang w:val="en-US" w:eastAsia="zh-CN"/>
        </w:rPr>
      </w:pPr>
      <w:r>
        <w:rPr>
          <w:rFonts w:hint="eastAsia" w:ascii="仿宋_GB2312" w:hAnsi="ˎ̥" w:eastAsia="仿宋_GB2312" w:cs="仿宋_GB2312"/>
          <w:b/>
          <w:sz w:val="32"/>
          <w:szCs w:val="32"/>
        </w:rPr>
        <w:t>1.因公出国（境）费</w:t>
      </w:r>
      <w:r>
        <w:rPr>
          <w:rFonts w:hint="eastAsia" w:ascii="仿宋_GB2312" w:hAnsi="ˎ̥" w:eastAsia="仿宋_GB2312" w:cs="仿宋_GB2312"/>
          <w:sz w:val="32"/>
          <w:szCs w:val="32"/>
        </w:rPr>
        <w:t>支出0万元。</w:t>
      </w:r>
      <w:r>
        <w:rPr>
          <w:rFonts w:hint="eastAsia" w:ascii="仿宋_GB2312" w:hAnsi="ˎ̥" w:eastAsia="仿宋_GB2312" w:cs="仿宋_GB2312"/>
          <w:sz w:val="32"/>
          <w:szCs w:val="32"/>
          <w:lang w:eastAsia="zh-CN"/>
        </w:rPr>
        <w:t>因公出国（境）团组数为</w:t>
      </w:r>
      <w:r>
        <w:rPr>
          <w:rFonts w:hint="eastAsia" w:ascii="仿宋_GB2312" w:hAnsi="ˎ̥" w:eastAsia="仿宋_GB2312" w:cs="仿宋_GB2312"/>
          <w:sz w:val="32"/>
          <w:szCs w:val="32"/>
          <w:lang w:val="en-US" w:eastAsia="zh-CN"/>
        </w:rPr>
        <w:t>0，人数为0。</w:t>
      </w:r>
    </w:p>
    <w:p>
      <w:pPr>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因公出国（境）费支出决算比2019年度持平，主要原因是</w:t>
      </w:r>
      <w:r>
        <w:rPr>
          <w:rFonts w:hint="eastAsia" w:ascii="仿宋_GB2312" w:hAnsi="ˎ̥" w:eastAsia="仿宋_GB2312" w:cs="仿宋_GB2312"/>
          <w:color w:val="000000"/>
          <w:sz w:val="32"/>
          <w:szCs w:val="32"/>
        </w:rPr>
        <w:t>我院无因公出国培训任务</w:t>
      </w:r>
      <w:r>
        <w:rPr>
          <w:rFonts w:hint="eastAsia" w:ascii="仿宋_GB2312" w:hAnsi="ˎ̥" w:eastAsia="仿宋_GB2312" w:cs="仿宋_GB2312"/>
          <w:sz w:val="32"/>
          <w:szCs w:val="32"/>
        </w:rPr>
        <w:t>。</w:t>
      </w:r>
    </w:p>
    <w:p>
      <w:pPr>
        <w:rPr>
          <w:rFonts w:ascii="仿宋_GB2312" w:hAnsi="ˎ̥" w:eastAsia="仿宋_GB2312" w:cs="仿宋_GB2312"/>
          <w:sz w:val="32"/>
          <w:szCs w:val="32"/>
        </w:rPr>
      </w:pPr>
      <w:r>
        <w:rPr>
          <w:rFonts w:hint="eastAsia" w:ascii="仿宋_GB2312" w:hAnsi="ˎ̥" w:eastAsia="仿宋_GB2312" w:cs="仿宋_GB2312"/>
          <w:b/>
          <w:sz w:val="32"/>
          <w:szCs w:val="32"/>
        </w:rPr>
        <w:t xml:space="preserve">    2.公务用车购置及运行费支出</w:t>
      </w:r>
      <w:r>
        <w:rPr>
          <w:rFonts w:hint="eastAsia" w:ascii="仿宋_GB2312" w:hAnsi="ˎ̥" w:eastAsia="仿宋_GB2312" w:cs="仿宋_GB2312"/>
          <w:sz w:val="32"/>
          <w:szCs w:val="32"/>
        </w:rPr>
        <w:t>16.54万元。其中：</w:t>
      </w:r>
    </w:p>
    <w:p>
      <w:pPr>
        <w:ind w:firstLine="643" w:firstLineChars="200"/>
        <w:rPr>
          <w:rFonts w:hint="eastAsia" w:ascii="仿宋_GB2312" w:hAnsi="ˎ̥" w:eastAsia="仿宋_GB2312" w:cs="仿宋_GB2312"/>
          <w:sz w:val="32"/>
          <w:szCs w:val="32"/>
          <w:lang w:val="en-US" w:eastAsia="zh-CN"/>
        </w:rPr>
      </w:pPr>
      <w:r>
        <w:rPr>
          <w:rFonts w:hint="eastAsia" w:ascii="仿宋_GB2312" w:hAnsi="ˎ̥" w:eastAsia="仿宋_GB2312" w:cs="仿宋_GB2312"/>
          <w:b/>
          <w:sz w:val="32"/>
          <w:szCs w:val="32"/>
        </w:rPr>
        <w:t>公务用车购置支出</w:t>
      </w:r>
      <w:r>
        <w:rPr>
          <w:rFonts w:hint="eastAsia" w:ascii="仿宋_GB2312" w:hAnsi="ˎ̥" w:eastAsia="仿宋_GB2312" w:cs="仿宋_GB2312"/>
          <w:sz w:val="32"/>
          <w:szCs w:val="32"/>
        </w:rPr>
        <w:t>0万元，</w:t>
      </w:r>
      <w:r>
        <w:rPr>
          <w:rFonts w:hint="eastAsia" w:ascii="仿宋_GB2312" w:hAnsi="ˎ̥" w:eastAsia="仿宋_GB2312" w:cs="仿宋_GB2312"/>
          <w:sz w:val="32"/>
          <w:szCs w:val="32"/>
          <w:lang w:eastAsia="zh-CN"/>
        </w:rPr>
        <w:t>全年购置公务用车</w:t>
      </w:r>
      <w:r>
        <w:rPr>
          <w:rFonts w:hint="eastAsia" w:ascii="仿宋_GB2312" w:hAnsi="ˎ̥" w:eastAsia="仿宋_GB2312" w:cs="仿宋_GB2312"/>
          <w:sz w:val="32"/>
          <w:szCs w:val="32"/>
          <w:lang w:val="en-US" w:eastAsia="zh-CN"/>
        </w:rPr>
        <w:t>0辆，省机关事务管理局调拨1辆公务用车，年末公务用车保有辆8辆。</w:t>
      </w:r>
      <w:bookmarkStart w:id="115" w:name="_GoBack"/>
      <w:bookmarkEnd w:id="115"/>
    </w:p>
    <w:p>
      <w:pPr>
        <w:ind w:firstLine="643" w:firstLineChars="200"/>
        <w:rPr>
          <w:rFonts w:ascii="仿宋_GB2312" w:hAnsi="ˎ̥" w:eastAsia="仿宋_GB2312" w:cs="仿宋_GB2312"/>
          <w:sz w:val="32"/>
          <w:szCs w:val="32"/>
        </w:rPr>
      </w:pPr>
      <w:r>
        <w:rPr>
          <w:rFonts w:hint="eastAsia" w:ascii="仿宋_GB2312" w:hAnsi="ˎ̥" w:eastAsia="仿宋_GB2312" w:cs="仿宋_GB2312"/>
          <w:b/>
          <w:sz w:val="32"/>
          <w:szCs w:val="32"/>
        </w:rPr>
        <w:t>公务用车运行维护费</w:t>
      </w:r>
      <w:r>
        <w:rPr>
          <w:rFonts w:hint="eastAsia" w:ascii="仿宋_GB2312" w:hAnsi="ˎ̥" w:eastAsia="仿宋_GB2312" w:cs="仿宋_GB2312"/>
          <w:sz w:val="32"/>
          <w:szCs w:val="32"/>
        </w:rPr>
        <w:t>支出16.54万元，主要用于</w:t>
      </w:r>
      <w:r>
        <w:rPr>
          <w:rFonts w:hint="eastAsia" w:ascii="仿宋_GB2312" w:hAnsi="ˎ̥" w:eastAsia="仿宋_GB2312" w:cs="仿宋_GB2312"/>
          <w:color w:val="000000"/>
          <w:sz w:val="32"/>
          <w:szCs w:val="32"/>
        </w:rPr>
        <w:t>车辆燃料费、维修费、停车费、保险费、年审检测费等项目</w:t>
      </w:r>
      <w:r>
        <w:rPr>
          <w:rFonts w:hint="eastAsia" w:ascii="仿宋_GB2312" w:hAnsi="ˎ̥" w:eastAsia="仿宋_GB2312" w:cs="仿宋_GB2312"/>
          <w:sz w:val="32"/>
          <w:szCs w:val="32"/>
        </w:rPr>
        <w:t>等。</w:t>
      </w:r>
    </w:p>
    <w:p>
      <w:pPr>
        <w:ind w:firstLine="640" w:firstLineChars="200"/>
        <w:rPr>
          <w:rFonts w:ascii="仿宋_GB2312" w:hAnsi="仿宋" w:eastAsia="仿宋_GB2312" w:cs="仿宋_GB2312"/>
          <w:bCs/>
          <w:sz w:val="32"/>
          <w:szCs w:val="32"/>
          <w:highlight w:val="yellow"/>
        </w:rPr>
      </w:pPr>
      <w:r>
        <w:rPr>
          <w:rFonts w:hint="eastAsia" w:ascii="仿宋_GB2312" w:hAnsi="ˎ̥" w:eastAsia="仿宋_GB2312" w:cs="仿宋_GB2312"/>
          <w:bCs/>
          <w:sz w:val="32"/>
          <w:szCs w:val="32"/>
        </w:rPr>
        <w:t>公务用车购置及运行费支出决算</w:t>
      </w:r>
      <w:r>
        <w:rPr>
          <w:rFonts w:hint="eastAsia" w:ascii="仿宋_GB2312" w:hAnsi="ˎ̥" w:eastAsia="仿宋_GB2312" w:cs="仿宋_GB2312"/>
          <w:sz w:val="32"/>
          <w:szCs w:val="32"/>
        </w:rPr>
        <w:t>比2019年度减少1.57万元，下降8.67%。</w:t>
      </w:r>
      <w:r>
        <w:rPr>
          <w:rFonts w:hint="eastAsia" w:ascii="仿宋_GB2312" w:hAnsi="仿宋_GB2312" w:eastAsia="仿宋_GB2312" w:cs="仿宋_GB2312"/>
          <w:sz w:val="32"/>
          <w:shd w:val="clear" w:color="auto" w:fill="FFFFFF"/>
        </w:rPr>
        <w:t>主要原因：</w:t>
      </w:r>
      <w:r>
        <w:rPr>
          <w:rFonts w:hint="eastAsia" w:ascii="仿宋_GB2312" w:hAnsi="ˎ̥" w:eastAsia="仿宋_GB2312"/>
          <w:color w:val="000000"/>
          <w:sz w:val="32"/>
          <w:szCs w:val="32"/>
        </w:rPr>
        <w:t>主要原因是严格落实中央“八项规定”及压减性支出的相关要求，厉行节约。</w:t>
      </w:r>
    </w:p>
    <w:p>
      <w:pPr>
        <w:rPr>
          <w:rFonts w:ascii="仿宋_GB2312" w:hAnsi="ˎ̥" w:eastAsia="仿宋_GB2312" w:cs="仿宋_GB2312"/>
          <w:sz w:val="32"/>
          <w:szCs w:val="32"/>
        </w:rPr>
      </w:pPr>
      <w:r>
        <w:rPr>
          <w:rFonts w:hint="eastAsia" w:ascii="仿宋_GB2312" w:hAnsi="ˎ̥" w:eastAsia="仿宋_GB2312" w:cs="仿宋_GB2312"/>
          <w:b/>
          <w:sz w:val="32"/>
          <w:szCs w:val="32"/>
        </w:rPr>
        <w:t xml:space="preserve">    3.公务接待费支出</w:t>
      </w:r>
      <w:r>
        <w:rPr>
          <w:rFonts w:hint="eastAsia" w:ascii="仿宋_GB2312" w:hAnsi="ˎ̥" w:eastAsia="仿宋_GB2312" w:cs="仿宋_GB2312"/>
          <w:sz w:val="32"/>
          <w:szCs w:val="32"/>
        </w:rPr>
        <w:t>1.00万元，其中：</w:t>
      </w:r>
    </w:p>
    <w:p>
      <w:pPr>
        <w:ind w:firstLine="640" w:firstLineChars="200"/>
        <w:rPr>
          <w:rFonts w:hint="eastAsia" w:ascii="仿宋_GB2312" w:hAnsi="ˎ̥" w:eastAsia="仿宋_GB2312" w:cs="仿宋_GB2312"/>
          <w:sz w:val="32"/>
          <w:szCs w:val="32"/>
        </w:rPr>
      </w:pPr>
      <w:r>
        <w:rPr>
          <w:rFonts w:hint="eastAsia" w:ascii="仿宋_GB2312" w:hAnsi="ˎ̥" w:eastAsia="仿宋_GB2312" w:cs="仿宋_GB2312"/>
          <w:sz w:val="32"/>
          <w:szCs w:val="32"/>
        </w:rPr>
        <w:t>公务接待费支出决算比2019年度减少0.29万元，减少22.48%。主要原因是公务接待人次数</w:t>
      </w:r>
      <w:r>
        <w:rPr>
          <w:rFonts w:hint="eastAsia" w:ascii="仿宋_GB2312" w:hAnsi="ˎ̥" w:eastAsia="仿宋_GB2312" w:cs="仿宋_GB2312"/>
          <w:sz w:val="32"/>
          <w:szCs w:val="32"/>
          <w:lang w:eastAsia="zh-CN"/>
        </w:rPr>
        <w:t>减少</w:t>
      </w:r>
      <w:r>
        <w:rPr>
          <w:rFonts w:hint="eastAsia" w:ascii="仿宋_GB2312" w:hAnsi="ˎ̥" w:eastAsia="仿宋_GB2312" w:cs="仿宋_GB2312"/>
          <w:sz w:val="32"/>
          <w:szCs w:val="32"/>
        </w:rPr>
        <w:t>。</w:t>
      </w:r>
    </w:p>
    <w:p>
      <w:pPr>
        <w:ind w:firstLine="640" w:firstLineChars="200"/>
        <w:rPr>
          <w:rFonts w:ascii="仿宋_GB2312" w:hAnsi="ˎ̥" w:eastAsia="仿宋_GB2312" w:cs="仿宋_GB2312"/>
          <w:sz w:val="32"/>
          <w:szCs w:val="32"/>
        </w:rPr>
      </w:pPr>
      <w:r>
        <w:rPr>
          <w:rFonts w:hint="eastAsia" w:ascii="仿宋_GB2312" w:hAnsi="ˎ̥" w:eastAsia="仿宋_GB2312" w:cs="仿宋_GB2312"/>
          <w:color w:val="000000"/>
          <w:sz w:val="32"/>
          <w:szCs w:val="32"/>
        </w:rPr>
        <w:t>国内接待费支出1.00万元，国内公务接待17批次，接待114人次，</w:t>
      </w:r>
      <w:r>
        <w:rPr>
          <w:rFonts w:hint="eastAsia" w:ascii="仿宋_GB2312" w:hAnsi="ˎ̥" w:eastAsia="仿宋_GB2312" w:cs="仿宋_GB2312"/>
          <w:sz w:val="32"/>
          <w:szCs w:val="32"/>
        </w:rPr>
        <w:t>主要用于</w:t>
      </w:r>
      <w:r>
        <w:rPr>
          <w:rFonts w:hint="eastAsia" w:ascii="仿宋_GB2312" w:hAnsi="仿宋" w:eastAsia="仿宋_GB2312" w:cs="仿宋_GB2312"/>
          <w:bCs/>
          <w:sz w:val="32"/>
          <w:szCs w:val="32"/>
        </w:rPr>
        <w:t>上级院来指导工作，其他院来我县办理相关案件以及工作调研的工作餐接待</w:t>
      </w:r>
      <w:r>
        <w:rPr>
          <w:rFonts w:hint="eastAsia" w:ascii="仿宋_GB2312" w:hAnsi="ˎ̥" w:eastAsia="仿宋_GB2312" w:cs="仿宋_GB2312"/>
          <w:sz w:val="32"/>
          <w:szCs w:val="32"/>
        </w:rPr>
        <w:t>。</w:t>
      </w:r>
    </w:p>
    <w:p>
      <w:pPr>
        <w:ind w:firstLine="640" w:firstLineChars="200"/>
        <w:rPr>
          <w:rFonts w:ascii="仿宋_GB2312" w:hAnsi="ˎ̥" w:eastAsia="仿宋_GB2312" w:cs="仿宋_GB2312"/>
          <w:sz w:val="32"/>
          <w:szCs w:val="32"/>
        </w:rPr>
      </w:pPr>
      <w:r>
        <w:rPr>
          <w:rFonts w:hint="eastAsia" w:ascii="仿宋_GB2312" w:hAnsi="ˎ̥" w:eastAsia="仿宋_GB2312" w:cs="仿宋_GB2312"/>
          <w:color w:val="000000"/>
          <w:sz w:val="32"/>
          <w:szCs w:val="32"/>
        </w:rPr>
        <w:t>国（境）外接待费支出0万元，国（境）外公务接待0批次，接待0人次</w:t>
      </w:r>
    </w:p>
    <w:p>
      <w:pPr>
        <w:ind w:firstLine="624" w:firstLineChars="195"/>
        <w:rPr>
          <w:rFonts w:ascii="仿宋_GB2312" w:hAnsi="ˎ̥" w:eastAsia="楷体_GB2312" w:cs="仿宋_GB2312"/>
          <w:sz w:val="32"/>
          <w:szCs w:val="32"/>
        </w:rPr>
      </w:pPr>
      <w:r>
        <w:rPr>
          <w:rFonts w:hint="eastAsia" w:ascii="黑体" w:hAnsi="宋体" w:eastAsia="黑体" w:cs="黑体"/>
          <w:bCs/>
          <w:sz w:val="32"/>
          <w:szCs w:val="32"/>
        </w:rPr>
        <w:t>十、政府性基金预算财政拨款“三公”经费支出决算情况说明</w:t>
      </w:r>
    </w:p>
    <w:p>
      <w:pPr>
        <w:ind w:firstLine="640" w:firstLineChars="200"/>
        <w:rPr>
          <w:rFonts w:hint="eastAsia" w:ascii="仿宋_GB2312" w:hAnsi="ˎ̥" w:eastAsia="仿宋_GB2312" w:cs="仿宋_GB2312"/>
          <w:color w:val="000000"/>
          <w:sz w:val="32"/>
          <w:szCs w:val="32"/>
        </w:rPr>
      </w:pPr>
      <w:r>
        <w:rPr>
          <w:rFonts w:hint="eastAsia" w:ascii="仿宋_GB2312" w:hAnsi="ˎ̥" w:eastAsia="仿宋_GB2312" w:cs="仿宋_GB2312"/>
          <w:color w:val="000000"/>
          <w:sz w:val="32"/>
          <w:szCs w:val="32"/>
        </w:rPr>
        <w:t>2020年度政府性基金预算财政拨款“三公”经费支出合计0万元。其中：因公出国（境）费支出决算0万元，占0%；公务用车购置及运行费支出决算0万元，占0%；公务接待费支出决算0万元，占0%。</w:t>
      </w:r>
    </w:p>
    <w:p>
      <w:pPr>
        <w:ind w:firstLine="627" w:firstLineChars="196"/>
        <w:rPr>
          <w:rFonts w:hint="eastAsia" w:ascii="仿宋_GB2312" w:hAnsi="ˎ̥" w:eastAsia="楷体_GB2312"/>
          <w:sz w:val="32"/>
          <w:szCs w:val="32"/>
          <w:lang w:eastAsia="zh-CN"/>
        </w:rPr>
      </w:pPr>
      <w:r>
        <w:rPr>
          <w:rFonts w:hint="eastAsia" w:ascii="黑体" w:hAnsi="黑体" w:eastAsia="黑体" w:cs="黑体"/>
          <w:bCs/>
          <w:sz w:val="32"/>
          <w:szCs w:val="32"/>
          <w:lang w:val="en-US" w:eastAsia="zh-CN"/>
        </w:rPr>
        <w:t>十一、</w:t>
      </w:r>
      <w:r>
        <w:rPr>
          <w:rFonts w:hint="eastAsia" w:ascii="黑体" w:hAnsi="黑体" w:eastAsia="黑体" w:cs="黑体"/>
          <w:b w:val="0"/>
          <w:bCs/>
          <w:sz w:val="32"/>
          <w:szCs w:val="32"/>
          <w:lang w:eastAsia="zh-CN"/>
        </w:rPr>
        <w:t>国有资本经营</w:t>
      </w:r>
      <w:r>
        <w:rPr>
          <w:rFonts w:hint="eastAsia" w:ascii="黑体" w:hAnsi="黑体" w:eastAsia="黑体" w:cs="黑体"/>
          <w:b w:val="0"/>
          <w:bCs/>
          <w:sz w:val="32"/>
          <w:szCs w:val="32"/>
        </w:rPr>
        <w:t>预算财政拨款“三公”经费支出决算情况说明</w:t>
      </w:r>
    </w:p>
    <w:p>
      <w:pPr>
        <w:ind w:firstLine="640" w:firstLineChars="200"/>
        <w:rPr>
          <w:rFonts w:hint="eastAsia" w:ascii="仿宋_GB2312" w:hAnsi="ˎ̥" w:eastAsia="仿宋_GB2312" w:cs="仿宋_GB2312"/>
          <w:color w:val="000000"/>
          <w:sz w:val="32"/>
          <w:szCs w:val="32"/>
        </w:rPr>
      </w:pPr>
      <w:r>
        <w:rPr>
          <w:rFonts w:hint="eastAsia" w:ascii="仿宋_GB2312" w:hAnsi="ˎ̥" w:eastAsia="仿宋_GB2312"/>
          <w:color w:val="000000"/>
          <w:sz w:val="32"/>
          <w:szCs w:val="32"/>
        </w:rPr>
        <w:t>2020年度国有资本经营预算财政拨款“三公”经费支出合计0万元。其中：因公出国（境）费支出决算0万元，占0%；公务用车购置及运行费支出决算0万元，占0%；公务接待费支出决算0万元，占0%。</w:t>
      </w:r>
    </w:p>
    <w:p>
      <w:pPr>
        <w:ind w:firstLine="640" w:firstLineChars="200"/>
        <w:rPr>
          <w:rFonts w:ascii="黑体" w:hAnsi="宋体" w:eastAsia="黑体" w:cs="黑体"/>
          <w:bCs/>
          <w:sz w:val="32"/>
          <w:szCs w:val="32"/>
        </w:rPr>
      </w:pPr>
      <w:r>
        <w:rPr>
          <w:rFonts w:hint="eastAsia" w:ascii="黑体" w:hAnsi="宋体" w:eastAsia="黑体" w:cs="黑体"/>
          <w:bCs/>
          <w:sz w:val="32"/>
          <w:szCs w:val="32"/>
        </w:rPr>
        <w:t>十</w:t>
      </w:r>
      <w:r>
        <w:rPr>
          <w:rFonts w:hint="eastAsia" w:ascii="黑体" w:hAnsi="宋体" w:eastAsia="黑体" w:cs="黑体"/>
          <w:bCs/>
          <w:sz w:val="32"/>
          <w:szCs w:val="32"/>
          <w:lang w:eastAsia="zh-CN"/>
        </w:rPr>
        <w:t>二</w:t>
      </w:r>
      <w:r>
        <w:rPr>
          <w:rFonts w:hint="eastAsia" w:ascii="黑体" w:hAnsi="宋体" w:eastAsia="黑体" w:cs="黑体"/>
          <w:bCs/>
          <w:sz w:val="32"/>
          <w:szCs w:val="32"/>
        </w:rPr>
        <w:t>、预算绩效情况说明。</w:t>
      </w:r>
    </w:p>
    <w:p>
      <w:pPr>
        <w:spacing w:line="578" w:lineRule="exact"/>
        <w:ind w:firstLine="643" w:firstLineChars="200"/>
        <w:rPr>
          <w:rFonts w:ascii="楷体" w:hAnsi="楷体" w:eastAsia="楷体" w:cs="楷体"/>
          <w:b/>
          <w:sz w:val="32"/>
          <w:szCs w:val="32"/>
        </w:rPr>
      </w:pPr>
      <w:r>
        <w:rPr>
          <w:rFonts w:hint="eastAsia" w:ascii="楷体" w:hAnsi="楷体" w:eastAsia="楷体" w:cs="楷体"/>
          <w:b/>
          <w:sz w:val="32"/>
          <w:szCs w:val="32"/>
        </w:rPr>
        <w:t>（一）绩效管理工作开展情况。</w:t>
      </w:r>
    </w:p>
    <w:p>
      <w:pPr>
        <w:spacing w:line="578" w:lineRule="exact"/>
        <w:ind w:firstLine="640" w:firstLineChars="200"/>
        <w:rPr>
          <w:rFonts w:ascii="仿宋_GB2312" w:eastAsia="仿宋_GB2312" w:cs="仿宋_GB2312"/>
          <w:sz w:val="32"/>
          <w:szCs w:val="32"/>
        </w:rPr>
      </w:pPr>
      <w:r>
        <w:rPr>
          <w:rFonts w:hint="eastAsia" w:ascii="仿宋_GB2312" w:hAnsi="Calibri" w:eastAsia="仿宋_GB2312" w:cs="仿宋_GB2312"/>
          <w:sz w:val="32"/>
          <w:szCs w:val="32"/>
        </w:rPr>
        <w:t>根据财政预算管理要求，昌江黎族自治县人民检察院组织对2020年度一般公共预算项目支出开展了绩效自评。自评项目2个，共涉及资金253.61万元，自评覆盖率达到100%。</w:t>
      </w:r>
    </w:p>
    <w:p>
      <w:pPr>
        <w:ind w:firstLine="640" w:firstLineChars="200"/>
        <w:rPr>
          <w:rFonts w:ascii="仿宋_GB2312" w:eastAsia="仿宋_GB2312" w:cs="仿宋_GB2312"/>
          <w:sz w:val="32"/>
          <w:szCs w:val="32"/>
        </w:rPr>
      </w:pPr>
      <w:r>
        <w:rPr>
          <w:rFonts w:hint="eastAsia" w:ascii="仿宋_GB2312" w:hAnsi="Calibri" w:eastAsia="仿宋_GB2312" w:cs="仿宋_GB2312"/>
          <w:sz w:val="32"/>
          <w:szCs w:val="32"/>
        </w:rPr>
        <w:t>昌江黎族自治县人民检察院共组织对“综合事务”项目、“聘用制书记员”项目进行了重点绩效评价，涉及资金253.61万元，支出221.89万元，项目资金实际支出占预算金额的87.49%，整体支出未超预算，该项目资金使用过程中严格按照预算批复的要求，在预算范围内使用，专款专用。在资金支付过程中，我院严格遵守财务管理规定办理支付手续，并经国库支付局会计核算站审核，确保了资金支出的合理合规性，资金使用较为规范。</w:t>
      </w:r>
    </w:p>
    <w:p>
      <w:pPr>
        <w:spacing w:line="578" w:lineRule="exact"/>
        <w:ind w:firstLine="640" w:firstLineChars="200"/>
        <w:rPr>
          <w:rFonts w:ascii="仿宋_GB2312" w:eastAsia="仿宋_GB2312" w:cs="仿宋_GB2312"/>
          <w:sz w:val="32"/>
          <w:szCs w:val="32"/>
        </w:rPr>
      </w:pPr>
      <w:r>
        <w:rPr>
          <w:rFonts w:hint="eastAsia" w:ascii="仿宋_GB2312" w:hAnsi="Calibri" w:eastAsia="仿宋_GB2312" w:cs="仿宋_GB2312"/>
          <w:sz w:val="32"/>
          <w:szCs w:val="32"/>
        </w:rPr>
        <w:t>共组织对“综合事务”、“聘用制书记员”2个项目开展了部门评价，涉及资金253.61万元。从评价情况来看，项目依照中央、省、市的要求决策，依据充分，目标明确，程序合理，与政策要求高度相关，项目资金到位及时，资金使用按预算（计划）执行，项目组织实施和管理基本有效，项目的产出基本达到目标，项目绩效基本实现，项目绩效评价“良”，从评价情况来看，我院严格按照年初预算进行部门整体支出。我院根据年初单位工作计划，围绕维护社会稳定、注重服务昌江县经济社会发展、强化检察监督、注重深化司法体制改革、全面从严治检等目标要求，积极履行，强化管理，较好的完成了年度工作目标。在支出过程中,能严格遵守各项规章制度,尤其在专项经费支出上，做到专款专用，按项目实施计划进行资金拨付，无截留、无挪用情况，保证资金使用规范、高效。</w:t>
      </w:r>
    </w:p>
    <w:p>
      <w:pPr>
        <w:spacing w:line="578" w:lineRule="exact"/>
        <w:ind w:firstLine="643" w:firstLineChars="200"/>
        <w:rPr>
          <w:rFonts w:ascii="楷体" w:hAnsi="楷体" w:eastAsia="楷体" w:cs="楷体"/>
          <w:b/>
          <w:sz w:val="32"/>
          <w:szCs w:val="32"/>
        </w:rPr>
      </w:pPr>
      <w:r>
        <w:rPr>
          <w:rFonts w:hint="eastAsia" w:ascii="楷体" w:hAnsi="楷体" w:eastAsia="楷体" w:cs="楷体"/>
          <w:b/>
          <w:sz w:val="32"/>
          <w:szCs w:val="32"/>
        </w:rPr>
        <w:t>（二）部门决算中项目绩效自评结果。</w:t>
      </w:r>
    </w:p>
    <w:p>
      <w:pPr>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综合事务项目自评得分为85.07分。发现的主要问题及原因：由于绩效自评是一项开展不久的工作任务，项目支出运行实践经验还欠缺，相关人员配备还显不足，相关制度建设还有待进一步加强。下一步改进措施：一是不断提高预算管理人员的预算编制能力，统筹规划，科学预测，不断提高预算的预测能力，科学合理的安排预算支出；二是加强预算项目绩效管理能力的学习，在设立预算项目绩效目标时，综合考虑各方面得因素，使绩效目标得设立更加科学性、合理性、增强绩效目标的可比性。</w:t>
      </w:r>
    </w:p>
    <w:p>
      <w:pPr>
        <w:numPr>
          <w:ilvl w:val="255"/>
          <w:numId w:val="0"/>
        </w:numPr>
        <w:shd w:val="solid" w:color="FFFFFF" w:fill="auto"/>
        <w:autoSpaceDN w:val="0"/>
        <w:spacing w:line="578" w:lineRule="exact"/>
        <w:ind w:left="420" w:leftChars="200"/>
        <w:rPr>
          <w:rFonts w:ascii="宋体" w:hAnsi="宋体" w:eastAsia="宋体" w:cs="宋体"/>
          <w:sz w:val="18"/>
          <w:shd w:val="clear" w:color="auto" w:fill="FFFFFF"/>
        </w:rPr>
      </w:pPr>
      <w:r>
        <w:rPr>
          <w:rFonts w:hint="eastAsia" w:ascii="楷体" w:hAnsi="楷体" w:eastAsia="楷体" w:cs="楷体"/>
          <w:b/>
          <w:sz w:val="32"/>
          <w:shd w:val="clear" w:color="auto" w:fill="FFFFFF"/>
        </w:rPr>
        <w:t>（三）重</w:t>
      </w:r>
      <w:r>
        <w:rPr>
          <w:rFonts w:hint="eastAsia" w:ascii="楷体" w:hAnsi="楷体" w:eastAsia="楷体" w:cs="楷体"/>
          <w:b/>
          <w:sz w:val="32"/>
          <w:szCs w:val="32"/>
          <w:shd w:val="solid" w:color="FFFFFF" w:fill="auto"/>
        </w:rPr>
        <w:t>点项目绩效评价情况。</w:t>
      </w:r>
    </w:p>
    <w:p>
      <w:pPr>
        <w:pStyle w:val="8"/>
        <w:widowControl/>
        <w:ind w:firstLine="480" w:firstLineChars="150"/>
        <w:rPr>
          <w:rFonts w:ascii="楷体" w:hAnsi="楷体" w:eastAsia="楷体" w:cs="楷体"/>
          <w:b/>
          <w:sz w:val="32"/>
          <w:szCs w:val="32"/>
          <w:shd w:val="solid" w:color="FFFFFF" w:fill="auto"/>
        </w:rPr>
      </w:pPr>
      <w:r>
        <w:rPr>
          <w:rFonts w:hint="eastAsia" w:ascii="仿宋_GB2312" w:eastAsia="仿宋_GB2312" w:cs="仿宋_GB2312"/>
          <w:sz w:val="32"/>
          <w:szCs w:val="32"/>
        </w:rPr>
        <w:t>2020年本院无重点项目绩效评价情况。</w:t>
      </w:r>
    </w:p>
    <w:p>
      <w:pPr>
        <w:numPr>
          <w:ilvl w:val="0"/>
          <w:numId w:val="4"/>
        </w:numPr>
        <w:shd w:val="solid" w:color="FFFFFF" w:fill="auto"/>
        <w:autoSpaceDN w:val="0"/>
        <w:spacing w:line="578" w:lineRule="exact"/>
        <w:ind w:left="640"/>
        <w:rPr>
          <w:rFonts w:ascii="楷体" w:hAnsi="楷体" w:eastAsia="楷体" w:cs="楷体"/>
          <w:b/>
          <w:sz w:val="32"/>
          <w:shd w:val="clear" w:color="auto" w:fill="FFFFFF"/>
        </w:rPr>
      </w:pPr>
      <w:r>
        <w:rPr>
          <w:rFonts w:hint="eastAsia" w:ascii="楷体" w:hAnsi="楷体" w:eastAsia="楷体" w:cs="楷体"/>
          <w:b/>
          <w:sz w:val="32"/>
          <w:shd w:val="clear" w:color="auto" w:fill="FFFFFF"/>
        </w:rPr>
        <w:t>其他以部门为主体开展的项目绩效评价报告</w:t>
      </w:r>
    </w:p>
    <w:p>
      <w:pPr>
        <w:spacing w:line="560" w:lineRule="exact"/>
        <w:ind w:firstLine="640" w:firstLineChars="200"/>
        <w:rPr>
          <w:rFonts w:ascii="楷体" w:hAnsi="楷体" w:eastAsia="楷体" w:cs="楷体"/>
          <w:b/>
          <w:sz w:val="32"/>
          <w:szCs w:val="32"/>
        </w:rPr>
      </w:pPr>
      <w:r>
        <w:rPr>
          <w:rFonts w:hint="eastAsia" w:ascii="仿宋_GB2312" w:eastAsia="仿宋_GB2312"/>
          <w:sz w:val="32"/>
          <w:szCs w:val="32"/>
        </w:rPr>
        <w:t>2020年本院无其他以部门为主体开展的项目绩效评价报告。</w:t>
      </w:r>
    </w:p>
    <w:p>
      <w:pPr>
        <w:ind w:firstLine="640" w:firstLineChars="200"/>
        <w:rPr>
          <w:rFonts w:ascii="黑体" w:hAnsi="宋体" w:eastAsia="黑体" w:cs="黑体"/>
          <w:bCs/>
          <w:sz w:val="32"/>
          <w:szCs w:val="32"/>
        </w:rPr>
      </w:pPr>
      <w:r>
        <w:rPr>
          <w:rFonts w:hint="eastAsia" w:ascii="黑体" w:hAnsi="宋体" w:eastAsia="黑体" w:cs="黑体"/>
          <w:bCs/>
          <w:sz w:val="32"/>
          <w:szCs w:val="32"/>
        </w:rPr>
        <w:t>十</w:t>
      </w:r>
      <w:r>
        <w:rPr>
          <w:rFonts w:hint="eastAsia" w:ascii="黑体" w:hAnsi="宋体" w:eastAsia="黑体" w:cs="黑体"/>
          <w:bCs/>
          <w:sz w:val="32"/>
          <w:szCs w:val="32"/>
          <w:lang w:eastAsia="zh-CN"/>
        </w:rPr>
        <w:t>三</w:t>
      </w:r>
      <w:r>
        <w:rPr>
          <w:rFonts w:hint="eastAsia" w:ascii="黑体" w:hAnsi="宋体" w:eastAsia="黑体" w:cs="黑体"/>
          <w:bCs/>
          <w:sz w:val="32"/>
          <w:szCs w:val="32"/>
        </w:rPr>
        <w:t>、其他重要事项情况说明。</w:t>
      </w:r>
    </w:p>
    <w:p>
      <w:pPr>
        <w:ind w:firstLine="643" w:firstLineChars="200"/>
        <w:rPr>
          <w:rFonts w:ascii="楷体" w:hAnsi="楷体" w:eastAsia="楷体" w:cs="楷体"/>
          <w:b/>
          <w:sz w:val="32"/>
          <w:szCs w:val="32"/>
        </w:rPr>
      </w:pPr>
      <w:bookmarkStart w:id="91" w:name="_Toc32639_WPSOffice_Level2"/>
      <w:bookmarkStart w:id="92" w:name="_Toc15565_WPSOffice_Level2"/>
      <w:bookmarkStart w:id="93" w:name="_Toc23598_WPSOffice_Level2"/>
      <w:bookmarkStart w:id="94" w:name="_Toc18325_WPSOffice_Level2"/>
      <w:bookmarkStart w:id="95" w:name="_Toc5978_WPSOffice_Level2"/>
      <w:bookmarkStart w:id="96" w:name="_Toc15262_WPSOffice_Level2"/>
      <w:r>
        <w:rPr>
          <w:rFonts w:hint="eastAsia" w:ascii="楷体" w:hAnsi="楷体" w:eastAsia="楷体" w:cs="楷体"/>
          <w:b/>
          <w:sz w:val="32"/>
          <w:szCs w:val="32"/>
        </w:rPr>
        <w:t>（一）机关运行经费支出情况。</w:t>
      </w:r>
      <w:bookmarkEnd w:id="91"/>
      <w:bookmarkEnd w:id="92"/>
      <w:bookmarkEnd w:id="93"/>
      <w:bookmarkEnd w:id="94"/>
      <w:bookmarkEnd w:id="95"/>
      <w:bookmarkEnd w:id="96"/>
    </w:p>
    <w:p>
      <w:pPr>
        <w:widowControl/>
        <w:shd w:val="clear" w:color="auto" w:fill="FFFFFF"/>
        <w:ind w:firstLine="640" w:firstLineChars="200"/>
        <w:rPr>
          <w:rFonts w:ascii="仿宋_GB2312" w:eastAsia="仿宋_GB2312" w:cs="仿宋_GB2312"/>
          <w:sz w:val="32"/>
          <w:szCs w:val="32"/>
          <w:shd w:val="clear" w:color="auto" w:fill="FFFFFF"/>
        </w:rPr>
      </w:pPr>
      <w:r>
        <w:rPr>
          <w:rFonts w:hint="eastAsia" w:ascii="仿宋_GB2312" w:hAnsi="ˎ̥" w:eastAsia="仿宋_GB2312" w:cs="仿宋_GB2312"/>
          <w:sz w:val="32"/>
          <w:szCs w:val="32"/>
          <w:shd w:val="clear" w:color="auto" w:fill="FFFFFF"/>
        </w:rPr>
        <w:t>2020年度昌江黎族自治县人民检察院机关运行经费298.20万元，比2019年度增加6.29万元，增长2.15%。主要原因是</w:t>
      </w:r>
      <w:bookmarkStart w:id="97" w:name="_Toc13084_WPSOffice_Level2"/>
      <w:bookmarkStart w:id="98" w:name="_Toc32689_WPSOffice_Level2"/>
      <w:bookmarkStart w:id="99" w:name="_Toc3131_WPSOffice_Level2"/>
      <w:bookmarkStart w:id="100" w:name="_Toc25333_WPSOffice_Level2"/>
      <w:bookmarkStart w:id="101" w:name="_Toc30383_WPSOffice_Level2"/>
      <w:bookmarkStart w:id="102" w:name="_Toc23966_WPSOffice_Level2"/>
      <w:r>
        <w:rPr>
          <w:rFonts w:hint="eastAsia" w:ascii="仿宋_GB2312" w:hAnsi="Calibri" w:eastAsia="仿宋_GB2312" w:cs="仿宋_GB2312"/>
          <w:sz w:val="32"/>
          <w:szCs w:val="32"/>
          <w:shd w:val="clear" w:color="auto" w:fill="FFFFFF"/>
        </w:rPr>
        <w:t>本院公共安全类业务支出增加。</w:t>
      </w:r>
    </w:p>
    <w:p>
      <w:pPr>
        <w:ind w:firstLine="643" w:firstLineChars="200"/>
        <w:rPr>
          <w:rFonts w:ascii="楷体" w:hAnsi="楷体" w:eastAsia="楷体" w:cs="楷体"/>
          <w:b/>
          <w:sz w:val="32"/>
          <w:szCs w:val="32"/>
        </w:rPr>
      </w:pPr>
      <w:r>
        <w:rPr>
          <w:rFonts w:hint="eastAsia" w:ascii="楷体" w:hAnsi="楷体" w:eastAsia="楷体" w:cs="楷体"/>
          <w:b/>
          <w:sz w:val="32"/>
          <w:szCs w:val="32"/>
        </w:rPr>
        <w:t>（二）政府采购支出情况。</w:t>
      </w:r>
      <w:bookmarkEnd w:id="97"/>
      <w:bookmarkEnd w:id="98"/>
      <w:bookmarkEnd w:id="99"/>
      <w:bookmarkEnd w:id="100"/>
      <w:bookmarkEnd w:id="101"/>
      <w:bookmarkEnd w:id="102"/>
    </w:p>
    <w:p>
      <w:pPr>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2020年度昌江黎族自治县人民检察院政府采购支出总额77.55万元，其中：政府采购货物支出77.55万元、政府采购服务支出0.00万元。</w:t>
      </w:r>
    </w:p>
    <w:p>
      <w:pPr>
        <w:ind w:firstLine="643" w:firstLineChars="200"/>
        <w:rPr>
          <w:rFonts w:ascii="楷体" w:hAnsi="楷体" w:eastAsia="楷体" w:cs="楷体"/>
          <w:b/>
          <w:sz w:val="32"/>
          <w:szCs w:val="32"/>
        </w:rPr>
      </w:pPr>
      <w:bookmarkStart w:id="103" w:name="_Toc6016_WPSOffice_Level2"/>
      <w:bookmarkStart w:id="104" w:name="_Toc15129_WPSOffice_Level2"/>
      <w:bookmarkStart w:id="105" w:name="_Toc10902_WPSOffice_Level2"/>
      <w:bookmarkStart w:id="106" w:name="_Toc29584_WPSOffice_Level2"/>
      <w:bookmarkStart w:id="107" w:name="_Toc19989_WPSOffice_Level2"/>
      <w:bookmarkStart w:id="108" w:name="_Toc527_WPSOffice_Level2"/>
      <w:r>
        <w:rPr>
          <w:rFonts w:hint="eastAsia" w:ascii="楷体" w:hAnsi="楷体" w:eastAsia="楷体" w:cs="楷体"/>
          <w:b/>
          <w:sz w:val="32"/>
          <w:szCs w:val="32"/>
        </w:rPr>
        <w:t>（三）国有资产占用情况。</w:t>
      </w:r>
      <w:bookmarkEnd w:id="103"/>
      <w:bookmarkEnd w:id="104"/>
      <w:bookmarkEnd w:id="105"/>
      <w:bookmarkEnd w:id="106"/>
      <w:bookmarkEnd w:id="107"/>
      <w:bookmarkEnd w:id="108"/>
    </w:p>
    <w:p>
      <w:pPr>
        <w:spacing w:line="578" w:lineRule="exact"/>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截至2020年度12月31日，本院占用房屋面积</w:t>
      </w:r>
      <w:r>
        <w:rPr>
          <w:rFonts w:hint="eastAsia" w:ascii="仿宋_GB2312" w:hAnsi="ˎ̥" w:eastAsia="仿宋_GB2312"/>
          <w:color w:val="000000"/>
          <w:sz w:val="32"/>
          <w:szCs w:val="32"/>
          <w:lang w:val="en-US" w:eastAsia="zh-CN"/>
        </w:rPr>
        <w:t>8209</w:t>
      </w:r>
      <w:r>
        <w:rPr>
          <w:rFonts w:hint="eastAsia" w:ascii="仿宋_GB2312" w:hAnsi="ˎ̥" w:eastAsia="仿宋_GB2312"/>
          <w:color w:val="000000"/>
          <w:sz w:val="32"/>
          <w:szCs w:val="32"/>
        </w:rPr>
        <w:t>平方米，其中：办公用房</w:t>
      </w:r>
      <w:r>
        <w:rPr>
          <w:rFonts w:hint="eastAsia" w:ascii="仿宋_GB2312" w:hAnsi="ˎ̥" w:eastAsia="仿宋_GB2312"/>
          <w:color w:val="000000"/>
          <w:sz w:val="32"/>
          <w:szCs w:val="32"/>
          <w:lang w:val="en-US" w:eastAsia="zh-CN"/>
        </w:rPr>
        <w:t>4800</w:t>
      </w:r>
      <w:r>
        <w:rPr>
          <w:rFonts w:hint="eastAsia" w:ascii="仿宋_GB2312" w:hAnsi="ˎ̥" w:eastAsia="仿宋_GB2312"/>
          <w:color w:val="000000"/>
          <w:sz w:val="32"/>
          <w:szCs w:val="32"/>
        </w:rPr>
        <w:t>平方米，业务用房</w:t>
      </w:r>
      <w:r>
        <w:rPr>
          <w:rFonts w:hint="eastAsia" w:ascii="仿宋_GB2312" w:hAnsi="ˎ̥" w:eastAsia="仿宋_GB2312"/>
          <w:color w:val="000000"/>
          <w:sz w:val="32"/>
          <w:szCs w:val="32"/>
          <w:lang w:val="en-US" w:eastAsia="zh-CN"/>
        </w:rPr>
        <w:t>388</w:t>
      </w:r>
      <w:r>
        <w:rPr>
          <w:rFonts w:hint="eastAsia" w:ascii="仿宋_GB2312" w:hAnsi="ˎ̥" w:eastAsia="仿宋_GB2312"/>
          <w:color w:val="000000"/>
          <w:sz w:val="32"/>
          <w:szCs w:val="32"/>
        </w:rPr>
        <w:t>平方米，其他（不含构筑物）</w:t>
      </w:r>
      <w:r>
        <w:rPr>
          <w:rFonts w:hint="eastAsia" w:ascii="仿宋_GB2312" w:hAnsi="ˎ̥" w:eastAsia="仿宋_GB2312"/>
          <w:color w:val="000000"/>
          <w:sz w:val="32"/>
          <w:szCs w:val="32"/>
          <w:lang w:val="en-US" w:eastAsia="zh-CN"/>
        </w:rPr>
        <w:t>2392</w:t>
      </w:r>
      <w:r>
        <w:rPr>
          <w:rFonts w:hint="eastAsia" w:ascii="仿宋_GB2312" w:hAnsi="ˎ̥" w:eastAsia="仿宋_GB2312"/>
          <w:color w:val="000000"/>
          <w:sz w:val="32"/>
          <w:szCs w:val="32"/>
        </w:rPr>
        <w:t>平方米。</w:t>
      </w:r>
    </w:p>
    <w:p>
      <w:pPr>
        <w:spacing w:line="578" w:lineRule="exact"/>
        <w:ind w:firstLine="640" w:firstLineChars="200"/>
        <w:rPr>
          <w:rFonts w:ascii="仿宋_GB2312" w:hAnsi="ˎ̥" w:eastAsia="仿宋_GB2312" w:cs="仿宋_GB2312"/>
          <w:sz w:val="32"/>
          <w:szCs w:val="32"/>
        </w:rPr>
      </w:pPr>
      <w:r>
        <w:rPr>
          <w:rFonts w:hint="eastAsia" w:ascii="仿宋_GB2312" w:hAnsi="ˎ̥" w:eastAsia="仿宋_GB2312"/>
          <w:color w:val="000000"/>
          <w:sz w:val="32"/>
          <w:szCs w:val="32"/>
        </w:rPr>
        <w:t>本院共有车辆8辆，其中：轿车4辆、越野车2辆、面包车1辆、新能源汽车1辆；从车辆使用情况说明：</w:t>
      </w:r>
      <w:r>
        <w:rPr>
          <w:rFonts w:hint="eastAsia" w:ascii="仿宋_GB2312" w:hAnsi="ˎ̥" w:eastAsia="仿宋_GB2312" w:cs="仿宋_GB2312"/>
          <w:sz w:val="32"/>
          <w:szCs w:val="32"/>
        </w:rPr>
        <w:t>其中，机要通道、应急公务车1辆、一般执法执勤用车7辆。</w:t>
      </w:r>
    </w:p>
    <w:p>
      <w:pPr>
        <w:spacing w:line="578" w:lineRule="exact"/>
        <w:ind w:firstLine="640" w:firstLineChars="200"/>
        <w:rPr>
          <w:rFonts w:ascii="仿宋_GB2312" w:hAnsi="ˎ̥" w:eastAsia="仿宋_GB2312" w:cs="仿宋_GB2312"/>
          <w:sz w:val="32"/>
          <w:szCs w:val="32"/>
        </w:rPr>
      </w:pPr>
      <w:r>
        <w:rPr>
          <w:rFonts w:hint="eastAsia" w:ascii="仿宋_GB2312" w:hAnsi="ˎ̥" w:eastAsia="仿宋_GB2312" w:cs="仿宋_GB2312"/>
          <w:sz w:val="32"/>
          <w:szCs w:val="32"/>
        </w:rPr>
        <w:t>本院无单位价值50万元以上通用设备，单价100万元以上专用设备；本院无单位价值50万元（含）以上通用设备及单位价值100万元（含）以上专用设备。</w:t>
      </w:r>
    </w:p>
    <w:p>
      <w:pPr>
        <w:spacing w:line="578" w:lineRule="exact"/>
        <w:rPr>
          <w:rFonts w:ascii="仿宋_GB2312" w:hAnsi="ˎ̥" w:eastAsia="仿宋_GB2312" w:cs="仿宋_GB2312"/>
          <w:sz w:val="32"/>
          <w:szCs w:val="32"/>
        </w:rPr>
      </w:pPr>
    </w:p>
    <w:p>
      <w:pPr>
        <w:spacing w:line="578" w:lineRule="exact"/>
        <w:rPr>
          <w:rFonts w:ascii="仿宋_GB2312" w:hAnsi="ˎ̥" w:eastAsia="仿宋_GB2312" w:cs="仿宋_GB2312"/>
          <w:sz w:val="32"/>
          <w:szCs w:val="32"/>
        </w:rPr>
      </w:pPr>
    </w:p>
    <w:p>
      <w:pPr>
        <w:jc w:val="center"/>
        <w:rPr>
          <w:rFonts w:ascii="黑体" w:hAnsi="ˎ̥" w:eastAsia="黑体" w:cs="黑体"/>
          <w:sz w:val="32"/>
          <w:szCs w:val="32"/>
        </w:rPr>
      </w:pPr>
      <w:bookmarkStart w:id="109" w:name="_Toc17580_WPSOffice_Level1"/>
      <w:bookmarkStart w:id="110" w:name="_Toc4398_WPSOffice_Level1"/>
      <w:bookmarkStart w:id="111" w:name="_Toc8808_WPSOffice_Level1"/>
      <w:bookmarkStart w:id="112" w:name="_Toc11039_WPSOffice_Level1"/>
      <w:bookmarkStart w:id="113" w:name="_Toc8874_WPSOffice_Level1"/>
      <w:bookmarkStart w:id="114" w:name="_Toc15425_WPSOffice_Level1"/>
      <w:r>
        <w:rPr>
          <w:rFonts w:hint="eastAsia" w:ascii="黑体" w:hAnsi="ˎ̥" w:eastAsia="黑体" w:cs="黑体"/>
          <w:sz w:val="32"/>
          <w:szCs w:val="32"/>
        </w:rPr>
        <w:t>第四部分  名词解释</w:t>
      </w:r>
      <w:bookmarkEnd w:id="109"/>
      <w:bookmarkEnd w:id="110"/>
      <w:bookmarkEnd w:id="111"/>
      <w:bookmarkEnd w:id="112"/>
      <w:bookmarkEnd w:id="113"/>
      <w:bookmarkEnd w:id="114"/>
    </w:p>
    <w:p>
      <w:pPr>
        <w:jc w:val="center"/>
        <w:rPr>
          <w:rFonts w:ascii="黑体" w:hAnsi="ˎ̥" w:eastAsia="黑体" w:cs="黑体"/>
          <w:sz w:val="32"/>
          <w:szCs w:val="32"/>
        </w:rPr>
      </w:pPr>
    </w:p>
    <w:p>
      <w:pPr>
        <w:ind w:firstLine="640" w:firstLineChars="200"/>
        <w:rPr>
          <w:rFonts w:ascii="仿宋_GB2312" w:hAnsi="ˎ̥" w:eastAsia="仿宋_GB2312"/>
          <w:sz w:val="32"/>
          <w:szCs w:val="32"/>
        </w:rPr>
      </w:pPr>
      <w:r>
        <w:rPr>
          <w:rFonts w:hint="eastAsia" w:ascii="仿宋_GB2312" w:hAnsi="ˎ̥" w:eastAsia="仿宋_GB2312"/>
          <w:sz w:val="32"/>
          <w:szCs w:val="32"/>
        </w:rPr>
        <w:t>一、财政拨款收入：指本级财政当年拨付的资金。</w:t>
      </w:r>
    </w:p>
    <w:p>
      <w:pPr>
        <w:ind w:firstLine="640" w:firstLineChars="200"/>
        <w:rPr>
          <w:rFonts w:ascii="仿宋_GB2312" w:hAnsi="ˎ̥" w:eastAsia="仿宋_GB2312"/>
          <w:sz w:val="32"/>
          <w:szCs w:val="32"/>
        </w:rPr>
      </w:pPr>
      <w:r>
        <w:rPr>
          <w:rFonts w:hint="eastAsia" w:ascii="仿宋_GB2312" w:hAnsi="ˎ̥" w:eastAsia="仿宋_GB2312"/>
          <w:sz w:val="32"/>
          <w:szCs w:val="32"/>
        </w:rPr>
        <w:t>二、事业收入：指事业单位开展专业业务活动及辅助活动取得的收入。</w:t>
      </w:r>
    </w:p>
    <w:p>
      <w:pPr>
        <w:ind w:firstLine="640" w:firstLineChars="200"/>
        <w:rPr>
          <w:rFonts w:ascii="仿宋_GB2312" w:hAnsi="ˎ̥" w:eastAsia="仿宋_GB2312"/>
          <w:sz w:val="32"/>
          <w:szCs w:val="32"/>
        </w:rPr>
      </w:pPr>
      <w:r>
        <w:rPr>
          <w:rFonts w:hint="eastAsia" w:ascii="仿宋_GB2312" w:hAnsi="ˎ̥" w:eastAsia="仿宋_GB2312"/>
          <w:sz w:val="32"/>
          <w:szCs w:val="32"/>
        </w:rPr>
        <w:t>三、经营收入：指事业单位在专业业务活动及其辅助活动之外开展非独立核算经营活动取得的收入。</w:t>
      </w:r>
    </w:p>
    <w:p>
      <w:pPr>
        <w:ind w:firstLine="640" w:firstLineChars="200"/>
        <w:rPr>
          <w:rFonts w:ascii="仿宋_GB2312" w:hAnsi="ˎ̥" w:eastAsia="仿宋_GB2312"/>
          <w:sz w:val="32"/>
          <w:szCs w:val="32"/>
        </w:rPr>
      </w:pPr>
      <w:r>
        <w:rPr>
          <w:rFonts w:hint="eastAsia" w:ascii="仿宋_GB2312" w:hAnsi="ˎ̥" w:eastAsia="仿宋_GB2312"/>
          <w:sz w:val="32"/>
          <w:szCs w:val="32"/>
        </w:rPr>
        <w:t>四、其他收入：指除上述“财政拨款收入”“事业收入”“经营收入”等以外的收入。</w:t>
      </w:r>
    </w:p>
    <w:p>
      <w:pPr>
        <w:ind w:firstLine="640" w:firstLineChars="200"/>
        <w:rPr>
          <w:rFonts w:ascii="仿宋_GB2312" w:hAnsi="ˎ̥" w:eastAsia="仿宋_GB2312"/>
          <w:sz w:val="32"/>
          <w:szCs w:val="32"/>
        </w:rPr>
      </w:pPr>
      <w:r>
        <w:rPr>
          <w:rFonts w:hint="eastAsia" w:ascii="仿宋_GB2312" w:hAnsi="ˎ̥" w:eastAsia="仿宋_GB2312"/>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ascii="仿宋_GB2312" w:hAnsi="ˎ̥" w:eastAsia="仿宋_GB2312"/>
          <w:sz w:val="32"/>
          <w:szCs w:val="32"/>
        </w:rPr>
      </w:pPr>
      <w:r>
        <w:rPr>
          <w:rFonts w:hint="eastAsia" w:ascii="仿宋_GB2312" w:hAnsi="ˎ̥" w:eastAsia="仿宋_GB2312"/>
          <w:sz w:val="32"/>
          <w:szCs w:val="32"/>
        </w:rPr>
        <w:t>六、年初结转和结余：指以前年度尚未完成、结转到本年按有关规定继续使用的资金。</w:t>
      </w:r>
    </w:p>
    <w:p>
      <w:pPr>
        <w:ind w:firstLine="640" w:firstLineChars="200"/>
        <w:rPr>
          <w:rFonts w:ascii="仿宋_GB2312" w:hAnsi="ˎ̥" w:eastAsia="仿宋_GB2312"/>
          <w:sz w:val="32"/>
          <w:szCs w:val="32"/>
        </w:rPr>
      </w:pPr>
      <w:r>
        <w:rPr>
          <w:rFonts w:hint="eastAsia" w:ascii="仿宋_GB2312" w:hAnsi="ˎ̥" w:eastAsia="仿宋_GB2312"/>
          <w:sz w:val="32"/>
          <w:szCs w:val="32"/>
        </w:rPr>
        <w:t>七、结余分配：指事业单位按规定提取的职工福利基金、事业基金和缴纳的所得税，以及建设单位按规定应交回的基本建设竣工项目结余资金。</w:t>
      </w:r>
    </w:p>
    <w:p>
      <w:pPr>
        <w:ind w:firstLine="640" w:firstLineChars="200"/>
        <w:rPr>
          <w:rFonts w:ascii="仿宋_GB2312" w:hAnsi="ˎ̥" w:eastAsia="仿宋_GB2312"/>
          <w:sz w:val="32"/>
          <w:szCs w:val="32"/>
        </w:rPr>
      </w:pPr>
      <w:r>
        <w:rPr>
          <w:rFonts w:hint="eastAsia" w:ascii="仿宋_GB2312" w:hAnsi="ˎ̥" w:eastAsia="仿宋_GB2312"/>
          <w:sz w:val="32"/>
          <w:szCs w:val="32"/>
        </w:rPr>
        <w:t>八、年末结转和结余：指本年度或以前年度预算安排、因客观条件发生变化无法按原计划实施，需要延迟到以后年度按有关规定继续使用的资金。</w:t>
      </w:r>
    </w:p>
    <w:p>
      <w:pPr>
        <w:ind w:firstLine="640" w:firstLineChars="200"/>
        <w:rPr>
          <w:rFonts w:ascii="仿宋_GB2312" w:hAnsi="ˎ̥" w:eastAsia="仿宋_GB2312"/>
          <w:sz w:val="32"/>
          <w:szCs w:val="32"/>
        </w:rPr>
      </w:pPr>
      <w:r>
        <w:rPr>
          <w:rFonts w:hint="eastAsia" w:ascii="仿宋_GB2312" w:hAnsi="ˎ̥" w:eastAsia="仿宋_GB2312"/>
          <w:sz w:val="32"/>
          <w:szCs w:val="32"/>
        </w:rPr>
        <w:t>九、基本支出：指为保障机构正常运转、完成日常工作任务而发生的人员支出和公用支出。</w:t>
      </w:r>
    </w:p>
    <w:p>
      <w:pPr>
        <w:ind w:firstLine="640" w:firstLineChars="200"/>
        <w:rPr>
          <w:rFonts w:ascii="仿宋_GB2312" w:hAnsi="ˎ̥" w:eastAsia="仿宋_GB2312"/>
          <w:sz w:val="32"/>
          <w:szCs w:val="32"/>
        </w:rPr>
      </w:pPr>
      <w:r>
        <w:rPr>
          <w:rFonts w:hint="eastAsia" w:ascii="仿宋_GB2312" w:hAnsi="ˎ̥" w:eastAsia="仿宋_GB2312"/>
          <w:sz w:val="32"/>
          <w:szCs w:val="32"/>
        </w:rPr>
        <w:t>十、项目支出：指在基本支出之外为完成特定行政任务和事业发展目标所发生的支出。</w:t>
      </w:r>
    </w:p>
    <w:p>
      <w:pPr>
        <w:ind w:firstLine="640" w:firstLineChars="200"/>
        <w:rPr>
          <w:rFonts w:ascii="仿宋_GB2312" w:hAnsi="ˎ̥" w:eastAsia="仿宋_GB2312"/>
          <w:sz w:val="32"/>
          <w:szCs w:val="32"/>
        </w:rPr>
      </w:pPr>
      <w:r>
        <w:rPr>
          <w:rFonts w:hint="eastAsia" w:ascii="仿宋_GB2312" w:hAnsi="ˎ̥" w:eastAsia="仿宋_GB2312"/>
          <w:sz w:val="32"/>
          <w:szCs w:val="32"/>
        </w:rPr>
        <w:t>十一、经营支出：指事业单位在专业业务活动及其辅助活动之外开展非独立核算经营活动发生的支出。</w:t>
      </w:r>
    </w:p>
    <w:p>
      <w:pPr>
        <w:ind w:firstLine="640" w:firstLineChars="200"/>
        <w:rPr>
          <w:rFonts w:ascii="仿宋_GB2312" w:hAnsi="ˎ̥" w:eastAsia="仿宋_GB2312"/>
          <w:sz w:val="32"/>
          <w:szCs w:val="32"/>
        </w:rPr>
      </w:pPr>
      <w:r>
        <w:rPr>
          <w:rFonts w:hint="eastAsia" w:ascii="仿宋_GB2312" w:hAnsi="ˎ̥" w:eastAsia="仿宋_GB2312"/>
          <w:sz w:val="32"/>
          <w:szCs w:val="32"/>
        </w:rPr>
        <w:t>十二、“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ascii="仿宋_GB2312" w:hAnsi="ˎ̥" w:eastAsia="仿宋_GB2312"/>
          <w:sz w:val="32"/>
          <w:szCs w:val="32"/>
        </w:rPr>
      </w:pPr>
      <w:r>
        <w:rPr>
          <w:rFonts w:hint="eastAsia" w:ascii="仿宋_GB2312" w:hAnsi="ˎ̥"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ascii="仿宋_GB2312" w:eastAsia="仿宋_GB2312"/>
          <w:color w:val="000000"/>
          <w:sz w:val="32"/>
          <w:szCs w:val="30"/>
        </w:rPr>
      </w:pPr>
      <w:r>
        <w:rPr>
          <w:rFonts w:hint="eastAsia" w:ascii="仿宋_GB2312" w:hAnsi="ˎ̥" w:eastAsia="仿宋_GB2312"/>
          <w:sz w:val="32"/>
          <w:szCs w:val="32"/>
        </w:rPr>
        <w:t>十四、</w:t>
      </w:r>
      <w:r>
        <w:rPr>
          <w:rFonts w:hint="eastAsia" w:ascii="仿宋_GB2312" w:eastAsia="仿宋_GB2312"/>
          <w:color w:val="000000"/>
          <w:sz w:val="32"/>
          <w:szCs w:val="30"/>
        </w:rPr>
        <w:t>一般公共安全（类）检察事务（款）：指用于保障机构正常运行、开展</w:t>
      </w:r>
      <w:r>
        <w:rPr>
          <w:rFonts w:hint="eastAsia" w:ascii="仿宋_GB2312" w:hAnsi="黑体" w:eastAsia="仿宋_GB2312" w:cs="仿宋_GB2312"/>
          <w:sz w:val="32"/>
          <w:szCs w:val="32"/>
        </w:rPr>
        <w:t>检察业务</w:t>
      </w:r>
      <w:r>
        <w:rPr>
          <w:rFonts w:hint="eastAsia" w:ascii="仿宋_GB2312" w:eastAsia="仿宋_GB2312"/>
          <w:color w:val="000000"/>
          <w:sz w:val="32"/>
          <w:szCs w:val="30"/>
        </w:rPr>
        <w:t>工作的基本支出。</w:t>
      </w:r>
    </w:p>
    <w:p>
      <w:pPr>
        <w:spacing w:line="56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十五、</w:t>
      </w:r>
      <w:r>
        <w:rPr>
          <w:rFonts w:hint="eastAsia" w:ascii="仿宋_GB2312" w:hAnsi="黑体" w:eastAsia="仿宋_GB2312" w:cs="仿宋_GB2312"/>
          <w:sz w:val="32"/>
          <w:szCs w:val="32"/>
        </w:rPr>
        <w:t>社会保障和就业支出（类）行政事业单位养老（款）机关事业单位基本养老保险缴费支出（项）</w:t>
      </w:r>
      <w:r>
        <w:rPr>
          <w:rFonts w:hint="eastAsia" w:ascii="仿宋_GB2312" w:eastAsia="仿宋_GB2312"/>
          <w:color w:val="000000"/>
          <w:sz w:val="32"/>
          <w:szCs w:val="30"/>
        </w:rPr>
        <w:t>：指用于</w:t>
      </w:r>
      <w:r>
        <w:rPr>
          <w:rFonts w:hint="eastAsia" w:ascii="仿宋_GB2312" w:hAnsi="黑体" w:eastAsia="仿宋_GB2312" w:cs="仿宋_GB2312"/>
          <w:sz w:val="32"/>
          <w:szCs w:val="32"/>
        </w:rPr>
        <w:t>机关事业单位养老保险费</w:t>
      </w:r>
      <w:r>
        <w:rPr>
          <w:rFonts w:hint="eastAsia" w:ascii="仿宋_GB2312" w:eastAsia="仿宋_GB2312"/>
          <w:color w:val="000000"/>
          <w:sz w:val="32"/>
          <w:szCs w:val="30"/>
        </w:rPr>
        <w:t>支出。</w:t>
      </w:r>
    </w:p>
    <w:p>
      <w:pPr>
        <w:shd w:val="clear" w:color="auto" w:fill="FFFFFF"/>
        <w:spacing w:beforeAutospacing="1" w:afterAutospacing="1" w:line="560" w:lineRule="exact"/>
        <w:rPr>
          <w:rFonts w:ascii="仿宋_GB2312" w:hAnsi="黑体" w:eastAsia="仿宋_GB2312" w:cs="仿宋_GB2312"/>
          <w:sz w:val="32"/>
          <w:szCs w:val="32"/>
        </w:rPr>
      </w:pPr>
      <w:r>
        <w:rPr>
          <w:rFonts w:hint="eastAsia" w:ascii="仿宋_GB2312" w:eastAsia="仿宋_GB2312"/>
          <w:color w:val="000000"/>
          <w:sz w:val="32"/>
          <w:szCs w:val="30"/>
        </w:rPr>
        <w:t>十六、</w:t>
      </w:r>
      <w:r>
        <w:rPr>
          <w:rFonts w:hint="eastAsia" w:ascii="仿宋_GB2312" w:hAnsi="黑体" w:eastAsia="仿宋_GB2312" w:cs="仿宋_GB2312"/>
          <w:sz w:val="32"/>
          <w:szCs w:val="32"/>
        </w:rPr>
        <w:t>社会保障和就业（类）行政事业单位养老（款）机关事业单位职业年金缴费支出（项）：指用于机关事业单位职业年金支出。</w:t>
      </w:r>
    </w:p>
    <w:p>
      <w:pPr>
        <w:shd w:val="clear" w:color="auto" w:fill="FFFFFF"/>
        <w:spacing w:beforeAutospacing="1" w:afterAutospacing="1" w:line="560" w:lineRule="exact"/>
        <w:rPr>
          <w:rFonts w:ascii="仿宋_GB2312" w:hAnsi="黑体" w:eastAsia="仿宋_GB2312" w:cs="仿宋_GB2312"/>
          <w:sz w:val="32"/>
          <w:szCs w:val="32"/>
        </w:rPr>
      </w:pPr>
      <w:r>
        <w:rPr>
          <w:rFonts w:hint="eastAsia" w:ascii="仿宋_GB2312" w:hAnsi="黑体" w:eastAsia="仿宋_GB2312" w:cs="仿宋_GB2312"/>
          <w:sz w:val="32"/>
          <w:szCs w:val="32"/>
        </w:rPr>
        <w:t>十七、卫生健康支出（类）行政事业单位医疗（款）行政单位医疗（项）：指用于行政单位医疗缴费支出。</w:t>
      </w:r>
    </w:p>
    <w:p>
      <w:pPr>
        <w:shd w:val="clear" w:color="auto" w:fill="FFFFFF"/>
        <w:spacing w:beforeAutospacing="1" w:afterAutospacing="1" w:line="560" w:lineRule="exact"/>
        <w:rPr>
          <w:rFonts w:ascii="仿宋_GB2312" w:eastAsia="仿宋_GB2312"/>
          <w:color w:val="000000"/>
          <w:sz w:val="32"/>
          <w:szCs w:val="30"/>
        </w:rPr>
      </w:pPr>
      <w:r>
        <w:rPr>
          <w:rFonts w:hint="eastAsia" w:ascii="仿宋_GB2312" w:eastAsia="仿宋_GB2312"/>
          <w:color w:val="000000"/>
          <w:sz w:val="32"/>
          <w:szCs w:val="30"/>
        </w:rPr>
        <w:t>十八、</w:t>
      </w:r>
      <w:r>
        <w:rPr>
          <w:rFonts w:hint="eastAsia" w:ascii="仿宋_GB2312" w:hAnsi="黑体" w:eastAsia="仿宋_GB2312" w:cs="仿宋_GB2312"/>
          <w:sz w:val="32"/>
          <w:szCs w:val="32"/>
        </w:rPr>
        <w:t>卫生健康支出（类）行政事业单位医疗（款）公务员医疗补助（项）</w:t>
      </w:r>
      <w:r>
        <w:rPr>
          <w:rFonts w:hint="eastAsia" w:ascii="仿宋_GB2312" w:eastAsia="仿宋_GB2312"/>
          <w:color w:val="000000"/>
          <w:sz w:val="32"/>
          <w:szCs w:val="30"/>
        </w:rPr>
        <w:t>：指用于</w:t>
      </w:r>
      <w:r>
        <w:rPr>
          <w:rFonts w:hint="eastAsia" w:ascii="仿宋_GB2312" w:hAnsi="黑体" w:eastAsia="仿宋_GB2312" w:cs="仿宋_GB2312"/>
          <w:sz w:val="32"/>
          <w:szCs w:val="32"/>
        </w:rPr>
        <w:t>公务员医疗补助缴费</w:t>
      </w:r>
      <w:r>
        <w:rPr>
          <w:rFonts w:hint="eastAsia" w:ascii="仿宋_GB2312" w:eastAsia="仿宋_GB2312"/>
          <w:color w:val="000000"/>
          <w:sz w:val="32"/>
          <w:szCs w:val="30"/>
        </w:rPr>
        <w:t>支出。</w:t>
      </w:r>
    </w:p>
    <w:p>
      <w:pPr>
        <w:spacing w:line="560" w:lineRule="exact"/>
        <w:ind w:firstLine="640" w:firstLineChars="200"/>
        <w:rPr>
          <w:rFonts w:ascii="仿宋_GB2312" w:eastAsia="仿宋_GB2312"/>
          <w:color w:val="000000"/>
          <w:sz w:val="32"/>
          <w:szCs w:val="30"/>
        </w:rPr>
      </w:pPr>
      <w:r>
        <w:rPr>
          <w:rFonts w:hint="eastAsia" w:ascii="仿宋_GB2312" w:hAnsi="黑体" w:eastAsia="仿宋_GB2312" w:cs="仿宋_GB2312"/>
          <w:sz w:val="32"/>
          <w:szCs w:val="32"/>
        </w:rPr>
        <w:t>十九、住房保障支出（类）住房保障（款）住房公积金（项）</w:t>
      </w:r>
      <w:r>
        <w:rPr>
          <w:rFonts w:hint="eastAsia" w:ascii="仿宋_GB2312" w:eastAsia="仿宋_GB2312"/>
          <w:color w:val="000000"/>
          <w:sz w:val="32"/>
          <w:szCs w:val="30"/>
        </w:rPr>
        <w:t>：指用于在职职工</w:t>
      </w:r>
      <w:r>
        <w:rPr>
          <w:rFonts w:hint="eastAsia" w:ascii="仿宋_GB2312" w:hAnsi="黑体" w:eastAsia="仿宋_GB2312" w:cs="仿宋_GB2312"/>
          <w:sz w:val="32"/>
          <w:szCs w:val="32"/>
        </w:rPr>
        <w:t>住房公积金缴费</w:t>
      </w:r>
      <w:r>
        <w:rPr>
          <w:rFonts w:hint="eastAsia" w:ascii="仿宋_GB2312" w:eastAsia="仿宋_GB2312"/>
          <w:color w:val="000000"/>
          <w:sz w:val="32"/>
          <w:szCs w:val="30"/>
        </w:rPr>
        <w:t>支出。</w:t>
      </w:r>
    </w:p>
    <w:p>
      <w:pPr>
        <w:widowControl/>
        <w:jc w:val="left"/>
      </w:pPr>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0B0CC0"/>
    <w:multiLevelType w:val="singleLevel"/>
    <w:tmpl w:val="AF0B0CC0"/>
    <w:lvl w:ilvl="0" w:tentative="0">
      <w:start w:val="7"/>
      <w:numFmt w:val="decimal"/>
      <w:lvlText w:val="%1."/>
      <w:lvlJc w:val="left"/>
      <w:pPr>
        <w:tabs>
          <w:tab w:val="left" w:pos="312"/>
        </w:tabs>
      </w:pPr>
    </w:lvl>
  </w:abstractNum>
  <w:abstractNum w:abstractNumId="1">
    <w:nsid w:val="612F2E6F"/>
    <w:multiLevelType w:val="multilevel"/>
    <w:tmpl w:val="612F2E6F"/>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12F2ECB"/>
    <w:multiLevelType w:val="singleLevel"/>
    <w:tmpl w:val="612F2ECB"/>
    <w:lvl w:ilvl="0" w:tentative="0">
      <w:start w:val="4"/>
      <w:numFmt w:val="chineseCounting"/>
      <w:suff w:val="nothing"/>
      <w:lvlText w:val="（%1）"/>
      <w:lvlJc w:val="left"/>
    </w:lvl>
  </w:abstractNum>
  <w:abstractNum w:abstractNumId="3">
    <w:nsid w:val="72109F8D"/>
    <w:multiLevelType w:val="singleLevel"/>
    <w:tmpl w:val="72109F8D"/>
    <w:lvl w:ilvl="0" w:tentative="0">
      <w:start w:val="7"/>
      <w:numFmt w:val="chineseCounting"/>
      <w:suff w:val="nothing"/>
      <w:lvlText w:val="%1、"/>
      <w:lvlJc w:val="left"/>
      <w:rPr>
        <w:rFonts w:hint="eastAsia"/>
      </w:rPr>
    </w:lvl>
  </w:abstractNum>
  <w:num w:numId="1">
    <w:abstractNumId w:val="3"/>
  </w:num>
  <w:num w:numId="2">
    <w:abstractNumId w:val="1"/>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467A2066"/>
    <w:rsid w:val="00230A45"/>
    <w:rsid w:val="00FC2585"/>
    <w:rsid w:val="08FC6F98"/>
    <w:rsid w:val="0E8335AC"/>
    <w:rsid w:val="10073FB7"/>
    <w:rsid w:val="156D52A2"/>
    <w:rsid w:val="171553B2"/>
    <w:rsid w:val="183816C3"/>
    <w:rsid w:val="1CB96DE6"/>
    <w:rsid w:val="1F120CD2"/>
    <w:rsid w:val="1F5F7375"/>
    <w:rsid w:val="1FC11981"/>
    <w:rsid w:val="20501412"/>
    <w:rsid w:val="228B2AE0"/>
    <w:rsid w:val="242306A6"/>
    <w:rsid w:val="262D55C0"/>
    <w:rsid w:val="2697127D"/>
    <w:rsid w:val="26EE324C"/>
    <w:rsid w:val="2719723F"/>
    <w:rsid w:val="2AD077E3"/>
    <w:rsid w:val="2DAB12E2"/>
    <w:rsid w:val="36FB3CF2"/>
    <w:rsid w:val="37445E20"/>
    <w:rsid w:val="39715A4D"/>
    <w:rsid w:val="3A841E6B"/>
    <w:rsid w:val="3AB233C1"/>
    <w:rsid w:val="3B2F5FEE"/>
    <w:rsid w:val="3C6C5AC8"/>
    <w:rsid w:val="3C882E7A"/>
    <w:rsid w:val="3D2D380D"/>
    <w:rsid w:val="3D825848"/>
    <w:rsid w:val="3F924BDC"/>
    <w:rsid w:val="40AF78A4"/>
    <w:rsid w:val="467A2066"/>
    <w:rsid w:val="4A8909F6"/>
    <w:rsid w:val="4FD02560"/>
    <w:rsid w:val="5286157A"/>
    <w:rsid w:val="545718B4"/>
    <w:rsid w:val="5856012E"/>
    <w:rsid w:val="5ABD3C07"/>
    <w:rsid w:val="5B872DC2"/>
    <w:rsid w:val="61F70625"/>
    <w:rsid w:val="6450080B"/>
    <w:rsid w:val="65F008A8"/>
    <w:rsid w:val="66573B70"/>
    <w:rsid w:val="6C8F6212"/>
    <w:rsid w:val="6FF27958"/>
    <w:rsid w:val="70976714"/>
    <w:rsid w:val="71EB393F"/>
    <w:rsid w:val="720570EB"/>
    <w:rsid w:val="73E16207"/>
    <w:rsid w:val="74F24522"/>
    <w:rsid w:val="781A3969"/>
    <w:rsid w:val="79C80145"/>
    <w:rsid w:val="7C5C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character" w:styleId="3">
    <w:name w:val="FollowedHyperlink"/>
    <w:basedOn w:val="2"/>
    <w:qFormat/>
    <w:uiPriority w:val="0"/>
    <w:rPr>
      <w:color w:val="954F72"/>
      <w:u w:val="single"/>
    </w:rPr>
  </w:style>
  <w:style w:type="character" w:styleId="4">
    <w:name w:val="Hyperlink"/>
    <w:basedOn w:val="2"/>
    <w:qFormat/>
    <w:uiPriority w:val="0"/>
    <w:rPr>
      <w:color w:val="0000FF"/>
      <w:u w:val="single"/>
    </w:rPr>
  </w:style>
  <w:style w:type="paragraph" w:customStyle="1" w:styleId="6">
    <w:name w:val="WPSOffice手动目录 2"/>
    <w:basedOn w:val="1"/>
    <w:uiPriority w:val="0"/>
    <w:pPr>
      <w:widowControl/>
      <w:ind w:left="200" w:leftChars="200"/>
      <w:jc w:val="left"/>
    </w:pPr>
    <w:rPr>
      <w:rFonts w:ascii="Calibri" w:hAnsi="Calibri" w:eastAsia="宋体" w:cs="Times New Roman"/>
      <w:kern w:val="0"/>
      <w:szCs w:val="22"/>
    </w:rPr>
  </w:style>
  <w:style w:type="paragraph" w:customStyle="1" w:styleId="7">
    <w:name w:val="WPSOffice手动目录 1"/>
    <w:basedOn w:val="1"/>
    <w:uiPriority w:val="0"/>
    <w:pPr>
      <w:widowControl/>
      <w:jc w:val="left"/>
    </w:pPr>
    <w:rPr>
      <w:rFonts w:ascii="Calibri" w:hAnsi="Calibri" w:eastAsia="宋体" w:cs="Times New Roman"/>
      <w:kern w:val="0"/>
      <w:szCs w:val="22"/>
    </w:rPr>
  </w:style>
  <w:style w:type="paragraph" w:customStyle="1" w:styleId="8">
    <w:name w:val="msolistparagraph"/>
    <w:basedOn w:val="1"/>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19</Pages>
  <Words>1691</Words>
  <Characters>9643</Characters>
  <Lines>80</Lines>
  <Paragraphs>22</Paragraphs>
  <TotalTime>28</TotalTime>
  <ScaleCrop>false</ScaleCrop>
  <LinksUpToDate>false</LinksUpToDate>
  <CharactersWithSpaces>11312</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2021-09-01T07:36:00Z</dcterms:created>
  <dc:creator>Administrator</dc:creator>
  <cp:lastModifiedBy>Administrator</cp:lastModifiedBy>
  <dcterms:modified xsi:type="dcterms:W3CDTF">2022-09-09T02:06:07Z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