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ˎ̥" w:eastAsia="黑体"/>
          <w:sz w:val="44"/>
          <w:szCs w:val="44"/>
        </w:rPr>
      </w:pPr>
    </w:p>
    <w:p>
      <w:pPr>
        <w:jc w:val="center"/>
        <w:rPr>
          <w:rFonts w:hint="eastAsia" w:ascii="黑体" w:hAnsi="ˎ̥" w:eastAsia="黑体"/>
          <w:sz w:val="44"/>
          <w:szCs w:val="44"/>
        </w:rPr>
      </w:pPr>
    </w:p>
    <w:p>
      <w:pPr>
        <w:jc w:val="center"/>
        <w:rPr>
          <w:rFonts w:hint="eastAsia" w:ascii="黑体" w:hAnsi="ˎ̥" w:eastAsia="黑体"/>
          <w:sz w:val="44"/>
          <w:szCs w:val="44"/>
          <w:lang w:eastAsia="zh-CN"/>
        </w:rPr>
      </w:pPr>
      <w:r>
        <w:rPr>
          <w:rFonts w:hint="eastAsia" w:ascii="黑体" w:hAnsi="黑体" w:eastAsia="黑体" w:cs="黑体"/>
          <w:color w:val="auto"/>
          <w:sz w:val="44"/>
          <w:szCs w:val="44"/>
          <w:lang w:eastAsia="zh-CN"/>
        </w:rPr>
        <w:t>万宁市人民检察院</w:t>
      </w:r>
      <w:r>
        <w:rPr>
          <w:rFonts w:hint="eastAsia" w:ascii="黑体" w:hAnsi="ˎ̥" w:eastAsia="黑体"/>
          <w:sz w:val="44"/>
          <w:szCs w:val="44"/>
          <w:lang w:eastAsia="zh-CN"/>
        </w:rPr>
        <w:t>2020年度</w:t>
      </w:r>
    </w:p>
    <w:p>
      <w:pPr>
        <w:jc w:val="center"/>
        <w:rPr>
          <w:rFonts w:hint="eastAsia" w:ascii="黑体" w:hAnsi="ˎ̥" w:eastAsia="黑体"/>
          <w:sz w:val="44"/>
          <w:szCs w:val="44"/>
          <w:lang w:eastAsia="zh-CN"/>
        </w:rPr>
      </w:pPr>
      <w:r>
        <w:rPr>
          <w:rFonts w:hint="eastAsia" w:ascii="黑体" w:hAnsi="ˎ̥" w:eastAsia="黑体"/>
          <w:sz w:val="44"/>
          <w:szCs w:val="44"/>
        </w:rPr>
        <w:t>部门决算</w:t>
      </w:r>
      <w:r>
        <w:rPr>
          <w:rFonts w:hint="eastAsia" w:ascii="黑体" w:hAnsi="ˎ̥" w:eastAsia="黑体"/>
          <w:sz w:val="44"/>
          <w:szCs w:val="44"/>
          <w:lang w:eastAsia="zh-CN"/>
        </w:rPr>
        <w:t>公开文字说明</w:t>
      </w:r>
    </w:p>
    <w:p>
      <w:pPr>
        <w:jc w:val="both"/>
        <w:rPr>
          <w:rFonts w:hint="eastAsia" w:ascii="黑体" w:hAnsi="ˎ̥" w:eastAsia="黑体"/>
          <w:b/>
          <w:sz w:val="32"/>
          <w:szCs w:val="32"/>
          <w:lang w:eastAsia="zh-CN"/>
        </w:rPr>
      </w:pPr>
    </w:p>
    <w:p>
      <w:pPr>
        <w:spacing w:before="0" w:beforeLines="0" w:after="0" w:afterLines="0" w:line="240" w:lineRule="auto"/>
        <w:ind w:left="0" w:leftChars="0" w:right="0" w:rightChars="0" w:firstLine="0" w:firstLineChars="0"/>
        <w:jc w:val="center"/>
        <w:rPr>
          <w:rFonts w:hint="eastAsia" w:ascii="黑体" w:hAnsi="黑体" w:eastAsia="黑体" w:cs="黑体"/>
          <w:sz w:val="44"/>
          <w:szCs w:val="44"/>
        </w:rPr>
      </w:pPr>
      <w:bookmarkStart w:id="0" w:name="_Toc11440_WPSOffice_Type2"/>
      <w:r>
        <w:rPr>
          <w:rFonts w:hint="eastAsia" w:ascii="黑体" w:hAnsi="黑体" w:eastAsia="黑体" w:cs="黑体"/>
          <w:sz w:val="44"/>
          <w:szCs w:val="44"/>
        </w:rPr>
        <w:t>目</w:t>
      </w:r>
      <w:r>
        <w:rPr>
          <w:rFonts w:hint="eastAsia" w:ascii="黑体" w:hAnsi="黑体" w:eastAsia="黑体" w:cs="黑体"/>
          <w:sz w:val="44"/>
          <w:szCs w:val="44"/>
          <w:lang w:val="en-US" w:eastAsia="zh-CN"/>
        </w:rPr>
        <w:t xml:space="preserve">  </w:t>
      </w:r>
      <w:r>
        <w:rPr>
          <w:rFonts w:hint="eastAsia" w:ascii="黑体" w:hAnsi="黑体" w:eastAsia="黑体" w:cs="黑体"/>
          <w:sz w:val="44"/>
          <w:szCs w:val="44"/>
        </w:rPr>
        <w:t>录</w:t>
      </w:r>
    </w:p>
    <w:p>
      <w:pPr>
        <w:pStyle w:val="7"/>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_Toc1704_WPSOffice_Level1 </w:instrText>
      </w:r>
      <w:r>
        <w:rPr>
          <w:b w:val="0"/>
          <w:bCs w:val="0"/>
          <w:sz w:val="32"/>
          <w:szCs w:val="32"/>
        </w:rPr>
        <w:fldChar w:fldCharType="separate"/>
      </w:r>
      <w:r>
        <w:rPr>
          <w:rFonts w:hint="eastAsia" w:ascii="黑体" w:hAnsi="ˎ̥" w:eastAsia="黑体"/>
          <w:b w:val="0"/>
          <w:bCs w:val="0"/>
          <w:sz w:val="32"/>
          <w:szCs w:val="32"/>
          <w:lang w:eastAsia="zh-CN"/>
        </w:rPr>
        <w:t>第一部分</w:t>
      </w:r>
      <w:r>
        <w:rPr>
          <w:rFonts w:hint="eastAsia" w:ascii="黑体" w:hAnsi="ˎ̥" w:eastAsia="黑体"/>
          <w:b w:val="0"/>
          <w:bCs w:val="0"/>
          <w:sz w:val="32"/>
          <w:szCs w:val="32"/>
          <w:lang w:val="en-US" w:eastAsia="zh-CN"/>
        </w:rPr>
        <w:t xml:space="preserve">  万宁市人民检察院部门概况</w:t>
      </w:r>
      <w:r>
        <w:rPr>
          <w:b w:val="0"/>
          <w:bCs w:val="0"/>
          <w:sz w:val="32"/>
          <w:szCs w:val="32"/>
        </w:rPr>
        <w:tab/>
      </w:r>
      <w:r>
        <w:rPr>
          <w:rFonts w:hint="eastAsia"/>
          <w:b w:val="0"/>
          <w:bCs w:val="0"/>
          <w:sz w:val="32"/>
          <w:szCs w:val="32"/>
          <w:lang w:val="en-US" w:eastAsia="zh-CN"/>
        </w:rPr>
        <w:t>3</w:t>
      </w:r>
      <w:r>
        <w:rPr>
          <w:b w:val="0"/>
          <w:bCs w:val="0"/>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_Toc20274_WPSOffice_Level2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一、</w:t>
      </w:r>
      <w:r>
        <w:rPr>
          <w:rFonts w:hint="eastAsia" w:ascii="仿宋" w:hAnsi="仿宋" w:eastAsia="仿宋" w:cs="仿宋"/>
          <w:sz w:val="32"/>
          <w:szCs w:val="32"/>
        </w:rPr>
        <w:t>部门职责</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_Toc4833_WPSOffice_Level2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二、</w:t>
      </w:r>
      <w:r>
        <w:rPr>
          <w:rFonts w:hint="eastAsia" w:ascii="仿宋" w:hAnsi="仿宋" w:eastAsia="仿宋" w:cs="仿宋"/>
          <w:sz w:val="32"/>
          <w:szCs w:val="32"/>
        </w:rPr>
        <w:t>机构设置</w:t>
      </w:r>
      <w:r>
        <w:rPr>
          <w:rFonts w:hint="eastAsia" w:ascii="仿宋" w:hAnsi="仿宋" w:eastAsia="仿宋" w:cs="仿宋"/>
          <w:sz w:val="32"/>
          <w:szCs w:val="32"/>
        </w:rPr>
        <w:tab/>
      </w:r>
      <w:r>
        <w:rPr>
          <w:rFonts w:hint="eastAsia" w:ascii="仿宋" w:hAnsi="仿宋" w:eastAsia="仿宋" w:cs="仿宋"/>
          <w:sz w:val="32"/>
          <w:szCs w:val="32"/>
          <w:lang w:val="en-US" w:eastAsia="zh-CN"/>
        </w:rPr>
        <w:t>4</w:t>
      </w:r>
      <w:r>
        <w:rPr>
          <w:rFonts w:hint="eastAsia" w:ascii="仿宋" w:hAnsi="仿宋" w:eastAsia="仿宋" w:cs="仿宋"/>
          <w:sz w:val="32"/>
          <w:szCs w:val="32"/>
        </w:rPr>
        <w:fldChar w:fldCharType="end"/>
      </w:r>
    </w:p>
    <w:p>
      <w:pPr>
        <w:pStyle w:val="7"/>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_Toc28253_WPSOffice_Level1 </w:instrText>
      </w:r>
      <w:r>
        <w:rPr>
          <w:b w:val="0"/>
          <w:bCs w:val="0"/>
          <w:sz w:val="32"/>
          <w:szCs w:val="32"/>
        </w:rPr>
        <w:fldChar w:fldCharType="separate"/>
      </w:r>
      <w:r>
        <w:rPr>
          <w:rFonts w:hint="eastAsia" w:ascii="黑体" w:hAnsi="ˎ̥" w:eastAsia="黑体"/>
          <w:b w:val="0"/>
          <w:bCs w:val="0"/>
          <w:sz w:val="32"/>
          <w:szCs w:val="32"/>
          <w:lang w:eastAsia="zh-CN"/>
        </w:rPr>
        <w:t>第二部分</w:t>
      </w:r>
      <w:r>
        <w:rPr>
          <w:rFonts w:hint="eastAsia" w:ascii="黑体" w:hAnsi="ˎ̥" w:eastAsia="黑体"/>
          <w:b w:val="0"/>
          <w:bCs w:val="0"/>
          <w:sz w:val="32"/>
          <w:szCs w:val="32"/>
          <w:lang w:val="en-US" w:eastAsia="zh-CN"/>
        </w:rPr>
        <w:t xml:space="preserve">  万宁市人民检察院</w:t>
      </w:r>
      <w:r>
        <w:rPr>
          <w:rFonts w:hint="eastAsia" w:ascii="黑体" w:hAnsi="ˎ̥" w:eastAsia="黑体"/>
          <w:b w:val="0"/>
          <w:bCs w:val="0"/>
          <w:sz w:val="32"/>
          <w:szCs w:val="32"/>
          <w:lang w:eastAsia="zh-CN"/>
        </w:rPr>
        <w:t>2020年度</w:t>
      </w:r>
      <w:r>
        <w:rPr>
          <w:rFonts w:hint="eastAsia" w:ascii="黑体" w:hAnsi="ˎ̥" w:eastAsia="黑体"/>
          <w:b w:val="0"/>
          <w:bCs w:val="0"/>
          <w:sz w:val="32"/>
          <w:szCs w:val="32"/>
        </w:rPr>
        <w:t>部门决算</w:t>
      </w:r>
      <w:r>
        <w:rPr>
          <w:rFonts w:hint="eastAsia" w:ascii="黑体" w:hAnsi="ˎ̥" w:eastAsia="黑体"/>
          <w:b w:val="0"/>
          <w:bCs w:val="0"/>
          <w:sz w:val="32"/>
          <w:szCs w:val="32"/>
          <w:lang w:eastAsia="zh-CN"/>
        </w:rPr>
        <w:t>公开表</w:t>
      </w:r>
      <w:r>
        <w:rPr>
          <w:b w:val="0"/>
          <w:bCs w:val="0"/>
          <w:sz w:val="32"/>
          <w:szCs w:val="32"/>
        </w:rPr>
        <w:tab/>
      </w:r>
      <w:r>
        <w:rPr>
          <w:rFonts w:hint="eastAsia"/>
          <w:b w:val="0"/>
          <w:bCs w:val="0"/>
          <w:sz w:val="32"/>
          <w:szCs w:val="32"/>
          <w:lang w:val="en-US" w:eastAsia="zh-CN"/>
        </w:rPr>
        <w:t>4</w:t>
      </w:r>
      <w:r>
        <w:rPr>
          <w:b w:val="0"/>
          <w:bCs w:val="0"/>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_Toc11518_WPSOffice_Level2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一、</w:t>
      </w:r>
      <w:r>
        <w:rPr>
          <w:rFonts w:hint="eastAsia" w:ascii="仿宋" w:hAnsi="仿宋" w:eastAsia="仿宋" w:cs="仿宋"/>
          <w:sz w:val="32"/>
          <w:szCs w:val="32"/>
        </w:rPr>
        <w:t>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4</w:t>
      </w:r>
      <w:r>
        <w:rPr>
          <w:rFonts w:hint="eastAsia" w:ascii="仿宋" w:hAnsi="仿宋" w:eastAsia="仿宋" w:cs="仿宋"/>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_Toc28622_WPSOffice_Level2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二、</w:t>
      </w:r>
      <w:r>
        <w:rPr>
          <w:rFonts w:hint="eastAsia" w:ascii="仿宋" w:hAnsi="仿宋" w:eastAsia="仿宋" w:cs="仿宋"/>
          <w:sz w:val="32"/>
          <w:szCs w:val="32"/>
        </w:rPr>
        <w:t>收入决算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4</w:t>
      </w:r>
      <w:r>
        <w:rPr>
          <w:rFonts w:hint="eastAsia" w:ascii="仿宋" w:hAnsi="仿宋" w:eastAsia="仿宋" w:cs="仿宋"/>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_Toc5489_WPSOffice_Level2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三、</w:t>
      </w:r>
      <w:r>
        <w:rPr>
          <w:rFonts w:hint="eastAsia" w:ascii="仿宋" w:hAnsi="仿宋" w:eastAsia="仿宋" w:cs="仿宋"/>
          <w:sz w:val="32"/>
          <w:szCs w:val="32"/>
        </w:rPr>
        <w:t>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4</w:t>
      </w:r>
      <w:r>
        <w:rPr>
          <w:rFonts w:hint="eastAsia" w:ascii="仿宋" w:hAnsi="仿宋" w:eastAsia="仿宋" w:cs="仿宋"/>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_Toc23493_WPSOffice_Level2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四、</w:t>
      </w:r>
      <w:r>
        <w:rPr>
          <w:rFonts w:hint="eastAsia" w:ascii="仿宋" w:hAnsi="仿宋" w:eastAsia="仿宋" w:cs="仿宋"/>
          <w:sz w:val="32"/>
          <w:szCs w:val="32"/>
        </w:rPr>
        <w:t>财政拨款收入支出决算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4</w:t>
      </w:r>
      <w:r>
        <w:rPr>
          <w:rFonts w:hint="eastAsia" w:ascii="仿宋" w:hAnsi="仿宋" w:eastAsia="仿宋" w:cs="仿宋"/>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_Toc7879_WPSOffice_Level2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五、</w:t>
      </w:r>
      <w:r>
        <w:rPr>
          <w:rFonts w:hint="eastAsia" w:ascii="仿宋" w:hAnsi="仿宋" w:eastAsia="仿宋" w:cs="仿宋"/>
          <w:sz w:val="32"/>
          <w:szCs w:val="32"/>
        </w:rPr>
        <w:t>一般公共预算财政拨款收入支出决算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4</w:t>
      </w:r>
      <w:r>
        <w:rPr>
          <w:rFonts w:hint="eastAsia" w:ascii="仿宋" w:hAnsi="仿宋" w:eastAsia="仿宋" w:cs="仿宋"/>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_Toc8373_WPSOffice_Level2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六、</w:t>
      </w:r>
      <w:r>
        <w:rPr>
          <w:rFonts w:hint="eastAsia" w:ascii="仿宋" w:hAnsi="仿宋" w:eastAsia="仿宋" w:cs="仿宋"/>
          <w:sz w:val="32"/>
          <w:szCs w:val="32"/>
        </w:rPr>
        <w:t>一般公共预算财政拨款基本支出决算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4</w:t>
      </w:r>
      <w:r>
        <w:rPr>
          <w:rFonts w:hint="eastAsia" w:ascii="仿宋" w:hAnsi="仿宋" w:eastAsia="仿宋" w:cs="仿宋"/>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_Toc1820_WPSOffice_Level2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七、</w:t>
      </w:r>
      <w:r>
        <w:rPr>
          <w:rFonts w:hint="eastAsia" w:ascii="仿宋" w:hAnsi="仿宋" w:eastAsia="仿宋" w:cs="仿宋"/>
          <w:sz w:val="32"/>
          <w:szCs w:val="32"/>
        </w:rPr>
        <w:t>政府性基金预算财政拨款收入支出决算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5</w:t>
      </w:r>
      <w:r>
        <w:rPr>
          <w:rFonts w:hint="eastAsia" w:ascii="仿宋" w:hAnsi="仿宋" w:eastAsia="仿宋" w:cs="仿宋"/>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_Toc1820_WPSOffice_Level2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八、国有资本经营</w:t>
      </w:r>
      <w:r>
        <w:rPr>
          <w:rFonts w:hint="eastAsia" w:ascii="仿宋" w:hAnsi="仿宋" w:eastAsia="仿宋" w:cs="仿宋"/>
          <w:sz w:val="32"/>
          <w:szCs w:val="32"/>
        </w:rPr>
        <w:t>预算财政拨款收入支出决算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5</w:t>
      </w:r>
      <w:r>
        <w:rPr>
          <w:rFonts w:hint="eastAsia" w:ascii="仿宋" w:hAnsi="仿宋" w:eastAsia="仿宋" w:cs="仿宋"/>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_Toc21310_WPSOffice_Level2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九、</w:t>
      </w:r>
      <w:r>
        <w:rPr>
          <w:rFonts w:hint="eastAsia" w:ascii="仿宋" w:hAnsi="仿宋" w:eastAsia="仿宋" w:cs="仿宋"/>
          <w:sz w:val="32"/>
          <w:szCs w:val="32"/>
        </w:rPr>
        <w:t>一般公共预算财政拨款“三公”经费支出决算</w:t>
      </w:r>
      <w:r>
        <w:rPr>
          <w:rFonts w:hint="eastAsia" w:ascii="仿宋" w:hAnsi="仿宋" w:eastAsia="仿宋" w:cs="仿宋"/>
          <w:sz w:val="32"/>
          <w:szCs w:val="32"/>
          <w:lang w:eastAsia="zh-CN"/>
        </w:rPr>
        <w:t>公开表</w:t>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lang w:val="en-US" w:eastAsia="zh-CN"/>
        </w:rPr>
        <w:t>5</w:t>
      </w:r>
      <w:r>
        <w:rPr>
          <w:rFonts w:hint="eastAsia" w:ascii="仿宋" w:hAnsi="仿宋" w:eastAsia="仿宋" w:cs="仿宋"/>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_Toc21310_WPSOffice_Level2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十、政府性基金</w:t>
      </w:r>
      <w:r>
        <w:rPr>
          <w:rFonts w:hint="eastAsia" w:ascii="仿宋" w:hAnsi="仿宋" w:eastAsia="仿宋" w:cs="仿宋"/>
          <w:sz w:val="32"/>
          <w:szCs w:val="32"/>
        </w:rPr>
        <w:t>预算财政拨款“三公”经费支出决算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5</w:t>
      </w:r>
    </w:p>
    <w:p>
      <w:pPr>
        <w:pStyle w:val="8"/>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_Toc21310_WPSOffice_Level2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十一、国有资本经营</w:t>
      </w:r>
      <w:r>
        <w:rPr>
          <w:rFonts w:hint="eastAsia" w:ascii="仿宋" w:hAnsi="仿宋" w:eastAsia="仿宋" w:cs="仿宋"/>
          <w:sz w:val="32"/>
          <w:szCs w:val="32"/>
        </w:rPr>
        <w:t>预算财政拨款“三公”经费支出决算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5</w:t>
      </w:r>
      <w:r>
        <w:rPr>
          <w:rFonts w:hint="eastAsia" w:ascii="仿宋" w:hAnsi="仿宋" w:eastAsia="仿宋" w:cs="仿宋"/>
          <w:sz w:val="32"/>
          <w:szCs w:val="32"/>
        </w:rPr>
        <w:fldChar w:fldCharType="end"/>
      </w:r>
    </w:p>
    <w:p>
      <w:pPr>
        <w:pStyle w:val="7"/>
        <w:tabs>
          <w:tab w:val="right" w:leader="dot" w:pos="8306"/>
        </w:tabs>
        <w:rPr>
          <w:rFonts w:hint="eastAsia" w:ascii="黑体" w:hAnsi="ˎ̥" w:eastAsia="黑体"/>
          <w:b w:val="0"/>
          <w:bCs w:val="0"/>
          <w:sz w:val="32"/>
          <w:szCs w:val="32"/>
        </w:rPr>
      </w:pPr>
      <w:r>
        <w:rPr>
          <w:b w:val="0"/>
          <w:bCs w:val="0"/>
          <w:sz w:val="32"/>
          <w:szCs w:val="32"/>
        </w:rPr>
        <w:fldChar w:fldCharType="begin"/>
      </w:r>
      <w:r>
        <w:rPr>
          <w:b w:val="0"/>
          <w:bCs w:val="0"/>
          <w:sz w:val="32"/>
          <w:szCs w:val="32"/>
        </w:rPr>
        <w:instrText xml:space="preserve"> HYPERLINK \l _Toc27590_WPSOffice_Level1 </w:instrText>
      </w:r>
      <w:r>
        <w:rPr>
          <w:b w:val="0"/>
          <w:bCs w:val="0"/>
          <w:sz w:val="32"/>
          <w:szCs w:val="32"/>
        </w:rPr>
        <w:fldChar w:fldCharType="separate"/>
      </w:r>
      <w:r>
        <w:rPr>
          <w:rFonts w:hint="eastAsia" w:ascii="黑体" w:hAnsi="黑体" w:eastAsia="黑体" w:cs="黑体"/>
          <w:b w:val="0"/>
          <w:bCs w:val="0"/>
          <w:sz w:val="32"/>
          <w:szCs w:val="32"/>
          <w:lang w:eastAsia="zh-CN"/>
        </w:rPr>
        <w:t>第三部分</w:t>
      </w:r>
      <w:r>
        <w:rPr>
          <w:rFonts w:hint="eastAsia"/>
          <w:b w:val="0"/>
          <w:bCs w:val="0"/>
          <w:sz w:val="32"/>
          <w:szCs w:val="32"/>
          <w:lang w:val="en-US" w:eastAsia="zh-CN"/>
        </w:rPr>
        <w:t xml:space="preserve"> </w:t>
      </w:r>
      <w:r>
        <w:rPr>
          <w:rFonts w:hint="eastAsia" w:ascii="黑体" w:hAnsi="ˎ̥" w:eastAsia="黑体"/>
          <w:b w:val="0"/>
          <w:bCs w:val="0"/>
          <w:sz w:val="32"/>
          <w:szCs w:val="32"/>
          <w:lang w:val="en-US" w:eastAsia="zh-CN"/>
        </w:rPr>
        <w:t>万宁市人民检察院</w:t>
      </w:r>
      <w:r>
        <w:rPr>
          <w:rFonts w:hint="eastAsia" w:ascii="黑体" w:hAnsi="ˎ̥" w:eastAsia="黑体"/>
          <w:b w:val="0"/>
          <w:bCs w:val="0"/>
          <w:sz w:val="32"/>
          <w:szCs w:val="32"/>
          <w:lang w:eastAsia="zh-CN"/>
        </w:rPr>
        <w:t>2020年度</w:t>
      </w:r>
      <w:r>
        <w:rPr>
          <w:rFonts w:hint="eastAsia" w:ascii="黑体" w:hAnsi="ˎ̥" w:eastAsia="黑体"/>
          <w:b w:val="0"/>
          <w:bCs w:val="0"/>
          <w:sz w:val="32"/>
          <w:szCs w:val="32"/>
        </w:rPr>
        <w:t>部门决算情况说明</w:t>
      </w:r>
    </w:p>
    <w:p>
      <w:pPr>
        <w:pStyle w:val="7"/>
        <w:tabs>
          <w:tab w:val="right" w:leader="dot" w:pos="8306"/>
        </w:tabs>
        <w:rPr>
          <w:b w:val="0"/>
          <w:bCs w:val="0"/>
          <w:sz w:val="32"/>
          <w:szCs w:val="32"/>
        </w:rPr>
      </w:pPr>
      <w:r>
        <w:rPr>
          <w:b w:val="0"/>
          <w:bCs w:val="0"/>
          <w:sz w:val="32"/>
          <w:szCs w:val="32"/>
        </w:rPr>
        <w:tab/>
      </w:r>
      <w:r>
        <w:rPr>
          <w:rFonts w:hint="eastAsia"/>
          <w:b w:val="0"/>
          <w:bCs w:val="0"/>
          <w:sz w:val="32"/>
          <w:szCs w:val="32"/>
          <w:lang w:val="en-US" w:eastAsia="zh-CN"/>
        </w:rPr>
        <w:t>5</w:t>
      </w:r>
      <w:r>
        <w:rPr>
          <w:b w:val="0"/>
          <w:bCs w:val="0"/>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_Toc21737_WPSOffice_Level2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一、</w:t>
      </w:r>
      <w:r>
        <w:rPr>
          <w:rFonts w:hint="eastAsia" w:ascii="仿宋" w:hAnsi="仿宋" w:eastAsia="仿宋" w:cs="仿宋"/>
          <w:b w:val="0"/>
          <w:bCs/>
          <w:sz w:val="32"/>
          <w:szCs w:val="32"/>
        </w:rPr>
        <w:t>收入支出决算总体情况说明</w:t>
      </w:r>
      <w:r>
        <w:rPr>
          <w:rFonts w:hint="eastAsia" w:ascii="仿宋" w:hAnsi="仿宋" w:eastAsia="仿宋" w:cs="仿宋"/>
          <w:sz w:val="32"/>
          <w:szCs w:val="32"/>
        </w:rPr>
        <w:tab/>
      </w:r>
      <w:r>
        <w:rPr>
          <w:rFonts w:hint="eastAsia" w:ascii="仿宋" w:hAnsi="仿宋" w:eastAsia="仿宋" w:cs="仿宋"/>
          <w:sz w:val="32"/>
          <w:szCs w:val="32"/>
          <w:lang w:val="en-US" w:eastAsia="zh-CN"/>
        </w:rPr>
        <w:t>5</w:t>
      </w:r>
      <w:r>
        <w:rPr>
          <w:rFonts w:hint="eastAsia" w:ascii="仿宋" w:hAnsi="仿宋" w:eastAsia="仿宋" w:cs="仿宋"/>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二、</w:t>
      </w:r>
      <w:r>
        <w:rPr>
          <w:rFonts w:hint="eastAsia" w:ascii="仿宋" w:hAnsi="仿宋" w:eastAsia="仿宋" w:cs="仿宋"/>
          <w:b w:val="0"/>
          <w:bCs/>
          <w:sz w:val="32"/>
          <w:szCs w:val="32"/>
        </w:rPr>
        <w:t>收入决算情况说明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6</w:t>
      </w:r>
      <w:r>
        <w:rPr>
          <w:rFonts w:hint="eastAsia" w:ascii="仿宋" w:hAnsi="仿宋" w:eastAsia="仿宋" w:cs="仿宋"/>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三、</w:t>
      </w:r>
      <w:r>
        <w:rPr>
          <w:rFonts w:hint="eastAsia" w:ascii="仿宋" w:hAnsi="仿宋" w:eastAsia="仿宋" w:cs="仿宋"/>
          <w:b w:val="0"/>
          <w:bCs/>
          <w:sz w:val="32"/>
          <w:szCs w:val="32"/>
          <w:lang w:val="en-US" w:eastAsia="zh-CN"/>
        </w:rPr>
        <w:t>支出</w:t>
      </w:r>
      <w:r>
        <w:rPr>
          <w:rFonts w:hint="eastAsia" w:ascii="仿宋" w:hAnsi="仿宋" w:eastAsia="仿宋" w:cs="仿宋"/>
          <w:b w:val="0"/>
          <w:bCs/>
          <w:sz w:val="32"/>
          <w:szCs w:val="32"/>
        </w:rPr>
        <w:t>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6</w:t>
      </w:r>
      <w:r>
        <w:rPr>
          <w:rFonts w:hint="eastAsia" w:ascii="仿宋" w:hAnsi="仿宋" w:eastAsia="仿宋" w:cs="仿宋"/>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val="en-US" w:eastAsia="zh-CN"/>
        </w:rPr>
        <w:t>四</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财政拨款收入支出决算情况说明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6</w:t>
      </w:r>
      <w:r>
        <w:rPr>
          <w:rFonts w:hint="eastAsia" w:ascii="仿宋" w:hAnsi="仿宋" w:eastAsia="仿宋" w:cs="仿宋"/>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rPr>
        <w:t>五</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一般公共预算财政拨款支出决算情况说明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7</w:t>
      </w:r>
      <w:r>
        <w:rPr>
          <w:rFonts w:hint="eastAsia" w:ascii="仿宋" w:hAnsi="仿宋" w:eastAsia="仿宋" w:cs="仿宋"/>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kern w:val="0"/>
          <w:sz w:val="32"/>
          <w:szCs w:val="32"/>
        </w:rPr>
        <w:t>六</w:t>
      </w:r>
      <w:r>
        <w:rPr>
          <w:rFonts w:hint="eastAsia" w:ascii="仿宋" w:hAnsi="仿宋" w:eastAsia="仿宋" w:cs="仿宋"/>
          <w:b w:val="0"/>
          <w:bCs/>
          <w:kern w:val="0"/>
          <w:sz w:val="32"/>
          <w:szCs w:val="32"/>
          <w:lang w:eastAsia="zh-CN"/>
        </w:rPr>
        <w:t>、</w:t>
      </w:r>
      <w:r>
        <w:rPr>
          <w:rFonts w:hint="eastAsia" w:ascii="仿宋" w:hAnsi="仿宋" w:eastAsia="仿宋" w:cs="仿宋"/>
          <w:b w:val="0"/>
          <w:bCs/>
          <w:kern w:val="0"/>
          <w:sz w:val="32"/>
          <w:szCs w:val="32"/>
        </w:rPr>
        <w:t>一般公共预算财政拨款基本支出决算情况说明</w:t>
      </w:r>
      <w:r>
        <w:rPr>
          <w:rFonts w:hint="eastAsia" w:ascii="仿宋" w:hAnsi="仿宋" w:eastAsia="仿宋" w:cs="仿宋"/>
          <w:sz w:val="32"/>
          <w:szCs w:val="32"/>
        </w:rPr>
        <w:fldChar w:fldCharType="end"/>
      </w:r>
      <w:r>
        <w:rPr>
          <w:rFonts w:hint="eastAsia" w:ascii="仿宋" w:hAnsi="仿宋" w:eastAsia="仿宋" w:cs="仿宋"/>
          <w:sz w:val="32"/>
          <w:szCs w:val="32"/>
        </w:rPr>
        <w:tab/>
      </w:r>
      <w:r>
        <w:rPr>
          <w:rFonts w:hint="eastAsia" w:ascii="仿宋" w:hAnsi="仿宋" w:eastAsia="仿宋" w:cs="仿宋"/>
          <w:sz w:val="32"/>
          <w:szCs w:val="32"/>
          <w:lang w:val="en-US" w:eastAsia="zh-CN"/>
        </w:rPr>
        <w:t>9</w:t>
      </w:r>
    </w:p>
    <w:p>
      <w:pPr>
        <w:pStyle w:val="8"/>
        <w:numPr>
          <w:ilvl w:val="0"/>
          <w:numId w:val="1"/>
        </w:numPr>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b w:val="0"/>
          <w:bCs/>
          <w:sz w:val="32"/>
          <w:szCs w:val="32"/>
          <w:lang w:eastAsia="zh-CN"/>
        </w:rPr>
        <w:t>政府性基金</w:t>
      </w:r>
      <w:r>
        <w:rPr>
          <w:rFonts w:hint="eastAsia" w:ascii="仿宋" w:hAnsi="仿宋" w:eastAsia="仿宋" w:cs="仿宋"/>
          <w:b w:val="0"/>
          <w:bCs/>
          <w:sz w:val="32"/>
          <w:szCs w:val="32"/>
        </w:rPr>
        <w:t>预算财政拨款</w:t>
      </w:r>
      <w:r>
        <w:rPr>
          <w:rFonts w:hint="eastAsia" w:ascii="仿宋" w:hAnsi="仿宋" w:eastAsia="仿宋" w:cs="仿宋"/>
          <w:b w:val="0"/>
          <w:bCs/>
          <w:sz w:val="32"/>
          <w:szCs w:val="32"/>
          <w:lang w:eastAsia="zh-CN"/>
        </w:rPr>
        <w:t>收入</w:t>
      </w:r>
      <w:r>
        <w:rPr>
          <w:rFonts w:hint="eastAsia" w:ascii="仿宋" w:hAnsi="仿宋" w:eastAsia="仿宋" w:cs="仿宋"/>
          <w:b w:val="0"/>
          <w:bCs/>
          <w:sz w:val="32"/>
          <w:szCs w:val="32"/>
        </w:rPr>
        <w:t>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10</w:t>
      </w:r>
    </w:p>
    <w:p>
      <w:pPr>
        <w:pStyle w:val="8"/>
        <w:numPr>
          <w:ilvl w:val="0"/>
          <w:numId w:val="1"/>
        </w:numPr>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b w:val="0"/>
          <w:bCs/>
          <w:sz w:val="32"/>
          <w:szCs w:val="32"/>
          <w:lang w:eastAsia="zh-CN"/>
        </w:rPr>
        <w:t>国有资本经营</w:t>
      </w:r>
      <w:r>
        <w:rPr>
          <w:rFonts w:hint="eastAsia" w:ascii="仿宋" w:hAnsi="仿宋" w:eastAsia="仿宋" w:cs="仿宋"/>
          <w:b w:val="0"/>
          <w:bCs/>
          <w:sz w:val="32"/>
          <w:szCs w:val="32"/>
        </w:rPr>
        <w:t>预算财政拨款</w:t>
      </w:r>
      <w:r>
        <w:rPr>
          <w:rFonts w:hint="eastAsia" w:ascii="仿宋" w:hAnsi="仿宋" w:eastAsia="仿宋" w:cs="仿宋"/>
          <w:b w:val="0"/>
          <w:bCs/>
          <w:sz w:val="32"/>
          <w:szCs w:val="32"/>
          <w:lang w:eastAsia="zh-CN"/>
        </w:rPr>
        <w:t>收入</w:t>
      </w:r>
      <w:r>
        <w:rPr>
          <w:rFonts w:hint="eastAsia" w:ascii="仿宋" w:hAnsi="仿宋" w:eastAsia="仿宋" w:cs="仿宋"/>
          <w:b w:val="0"/>
          <w:bCs/>
          <w:sz w:val="32"/>
          <w:szCs w:val="32"/>
        </w:rPr>
        <w:t>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10</w:t>
      </w:r>
    </w:p>
    <w:p>
      <w:pPr>
        <w:rPr>
          <w:rFonts w:hint="eastAsia" w:ascii="仿宋" w:hAnsi="仿宋" w:eastAsia="仿宋" w:cs="仿宋"/>
          <w:w w:val="98"/>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九、</w:t>
      </w:r>
      <w:r>
        <w:rPr>
          <w:rFonts w:hint="eastAsia" w:ascii="仿宋" w:hAnsi="仿宋" w:eastAsia="仿宋" w:cs="仿宋"/>
          <w:b w:val="0"/>
          <w:bCs/>
          <w:w w:val="98"/>
          <w:sz w:val="32"/>
          <w:szCs w:val="32"/>
        </w:rPr>
        <w:t>一般公共预算财政拨款“三公”经费支出决算情况说明</w:t>
      </w:r>
    </w:p>
    <w:p>
      <w:pPr>
        <w:pStyle w:val="8"/>
        <w:tabs>
          <w:tab w:val="right" w:leader="dot" w:pos="8306"/>
        </w:tabs>
        <w:ind w:left="0" w:leftChars="0" w:firstLine="0" w:firstLineChars="0"/>
        <w:rPr>
          <w:rFonts w:hint="default" w:ascii="仿宋" w:hAnsi="仿宋" w:eastAsia="仿宋" w:cs="仿宋"/>
          <w:sz w:val="32"/>
          <w:szCs w:val="32"/>
          <w:lang w:val="en-US"/>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10</w:t>
      </w:r>
    </w:p>
    <w:p>
      <w:pPr>
        <w:rPr>
          <w:rFonts w:hint="eastAsia" w:ascii="仿宋" w:hAnsi="仿宋" w:eastAsia="仿宋" w:cs="仿宋"/>
          <w:w w:val="98"/>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十、</w:t>
      </w:r>
      <w:r>
        <w:rPr>
          <w:rFonts w:hint="eastAsia" w:ascii="仿宋" w:hAnsi="仿宋" w:eastAsia="仿宋" w:cs="仿宋"/>
          <w:b w:val="0"/>
          <w:bCs/>
          <w:w w:val="98"/>
          <w:sz w:val="32"/>
          <w:szCs w:val="32"/>
          <w:lang w:eastAsia="zh-CN"/>
        </w:rPr>
        <w:t>政府性基金</w:t>
      </w:r>
      <w:r>
        <w:rPr>
          <w:rFonts w:hint="eastAsia" w:ascii="仿宋" w:hAnsi="仿宋" w:eastAsia="仿宋" w:cs="仿宋"/>
          <w:b w:val="0"/>
          <w:bCs/>
          <w:w w:val="98"/>
          <w:sz w:val="32"/>
          <w:szCs w:val="32"/>
        </w:rPr>
        <w:t>预算财政拨款“三公”经费支出决算情况说明</w:t>
      </w:r>
    </w:p>
    <w:p>
      <w:pPr>
        <w:pStyle w:val="8"/>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11</w:t>
      </w:r>
    </w:p>
    <w:p>
      <w:pPr>
        <w:rPr>
          <w:rFonts w:hint="eastAsia" w:ascii="仿宋" w:hAnsi="仿宋" w:eastAsia="仿宋" w:cs="仿宋"/>
          <w:w w:val="91"/>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 w:val="0"/>
          <w:bCs/>
          <w:w w:val="91"/>
          <w:sz w:val="32"/>
          <w:szCs w:val="32"/>
          <w:lang w:eastAsia="zh-CN"/>
        </w:rPr>
        <w:t>十一、国有资本经营</w:t>
      </w:r>
      <w:r>
        <w:rPr>
          <w:rFonts w:hint="eastAsia" w:ascii="仿宋" w:hAnsi="仿宋" w:eastAsia="仿宋" w:cs="仿宋"/>
          <w:b w:val="0"/>
          <w:bCs/>
          <w:w w:val="91"/>
          <w:sz w:val="32"/>
          <w:szCs w:val="32"/>
        </w:rPr>
        <w:t>预算财政拨款“三公”经费支出决算情况说明</w:t>
      </w:r>
    </w:p>
    <w:p>
      <w:pPr>
        <w:pStyle w:val="8"/>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11</w:t>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val="en-US" w:eastAsia="zh-CN"/>
        </w:rPr>
        <w:t>十二</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预算绩效情况说明</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12</w:t>
      </w:r>
      <w:bookmarkStart w:id="112" w:name="_GoBack"/>
      <w:bookmarkEnd w:id="112"/>
    </w:p>
    <w:p>
      <w:pPr>
        <w:pStyle w:val="8"/>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b w:val="0"/>
          <w:bCs/>
          <w:color w:val="auto"/>
          <w:sz w:val="32"/>
          <w:szCs w:val="32"/>
          <w:u w:val="none"/>
          <w:lang w:val="en-US" w:eastAsia="zh-CN"/>
        </w:rPr>
        <w:t>十三</w:t>
      </w:r>
      <w:r>
        <w:rPr>
          <w:rFonts w:hint="eastAsia" w:ascii="仿宋" w:hAnsi="仿宋" w:eastAsia="仿宋" w:cs="仿宋"/>
          <w:b w:val="0"/>
          <w:bCs/>
          <w:color w:val="auto"/>
          <w:sz w:val="32"/>
          <w:szCs w:val="32"/>
          <w:u w:val="none"/>
          <w:lang w:eastAsia="zh-CN"/>
        </w:rPr>
        <w:t>、</w:t>
      </w:r>
      <w:r>
        <w:rPr>
          <w:rFonts w:hint="eastAsia" w:ascii="仿宋" w:hAnsi="仿宋" w:eastAsia="仿宋" w:cs="仿宋"/>
          <w:b w:val="0"/>
          <w:bCs/>
          <w:color w:val="auto"/>
          <w:sz w:val="32"/>
          <w:szCs w:val="32"/>
          <w:u w:val="none"/>
        </w:rPr>
        <w:t>其他重要事项情况说明</w:t>
      </w:r>
      <w:r>
        <w:rPr>
          <w:rFonts w:hint="eastAsia" w:ascii="仿宋" w:hAnsi="仿宋" w:eastAsia="仿宋" w:cs="仿宋"/>
          <w:color w:val="auto"/>
          <w:sz w:val="32"/>
          <w:szCs w:val="32"/>
          <w:u w:val="none"/>
        </w:rPr>
        <w:tab/>
      </w:r>
      <w:r>
        <w:rPr>
          <w:rFonts w:hint="eastAsia" w:ascii="仿宋" w:hAnsi="仿宋" w:eastAsia="仿宋" w:cs="仿宋"/>
          <w:color w:val="auto"/>
          <w:sz w:val="32"/>
          <w:szCs w:val="32"/>
          <w:u w:val="none"/>
          <w:lang w:val="en-US" w:eastAsia="zh-CN"/>
        </w:rPr>
        <w:t>14</w:t>
      </w:r>
    </w:p>
    <w:p>
      <w:pPr>
        <w:pStyle w:val="7"/>
        <w:tabs>
          <w:tab w:val="right" w:leader="dot" w:pos="8306"/>
        </w:tabs>
        <w:rPr>
          <w:rFonts w:hint="eastAsia" w:ascii="黑体" w:hAnsi="黑体" w:eastAsia="宋体" w:cs="黑体"/>
          <w:sz w:val="32"/>
          <w:szCs w:val="32"/>
          <w:lang w:val="en-US" w:eastAsia="zh-CN"/>
        </w:rPr>
      </w:pPr>
      <w:r>
        <w:rPr>
          <w:b w:val="0"/>
          <w:bCs w:val="0"/>
          <w:sz w:val="32"/>
          <w:szCs w:val="32"/>
        </w:rPr>
        <w:fldChar w:fldCharType="begin"/>
      </w:r>
      <w:r>
        <w:rPr>
          <w:b w:val="0"/>
          <w:bCs w:val="0"/>
          <w:sz w:val="32"/>
          <w:szCs w:val="32"/>
        </w:rPr>
        <w:instrText xml:space="preserve"> HYPERLINK \l _Toc15425_WPSOffice_Level1 </w:instrText>
      </w:r>
      <w:r>
        <w:rPr>
          <w:b w:val="0"/>
          <w:bCs w:val="0"/>
          <w:sz w:val="32"/>
          <w:szCs w:val="32"/>
        </w:rPr>
        <w:fldChar w:fldCharType="separate"/>
      </w:r>
      <w:r>
        <w:rPr>
          <w:rFonts w:hint="eastAsia" w:ascii="黑体" w:hAnsi="ˎ̥" w:eastAsia="黑体"/>
          <w:b w:val="0"/>
          <w:bCs w:val="0"/>
          <w:sz w:val="32"/>
          <w:szCs w:val="32"/>
          <w:lang w:eastAsia="zh-CN"/>
        </w:rPr>
        <w:t>第四部分</w:t>
      </w:r>
      <w:r>
        <w:rPr>
          <w:rFonts w:hint="eastAsia" w:ascii="黑体" w:hAnsi="ˎ̥" w:eastAsia="黑体"/>
          <w:b w:val="0"/>
          <w:bCs w:val="0"/>
          <w:sz w:val="32"/>
          <w:szCs w:val="32"/>
          <w:lang w:val="en-US" w:eastAsia="zh-CN"/>
        </w:rPr>
        <w:t xml:space="preserve">  </w:t>
      </w:r>
      <w:r>
        <w:rPr>
          <w:rFonts w:hint="eastAsia" w:ascii="黑体" w:hAnsi="ˎ̥" w:eastAsia="黑体"/>
          <w:b w:val="0"/>
          <w:bCs w:val="0"/>
          <w:sz w:val="32"/>
          <w:szCs w:val="32"/>
        </w:rPr>
        <w:t>名词解释</w:t>
      </w:r>
      <w:r>
        <w:rPr>
          <w:b w:val="0"/>
          <w:bCs w:val="0"/>
          <w:sz w:val="32"/>
          <w:szCs w:val="32"/>
        </w:rPr>
        <w:tab/>
      </w:r>
      <w:bookmarkStart w:id="1" w:name="_Toc15425_WPSOffice_Level1Page"/>
      <w:r>
        <w:rPr>
          <w:b w:val="0"/>
          <w:bCs w:val="0"/>
          <w:sz w:val="32"/>
          <w:szCs w:val="32"/>
        </w:rPr>
        <w:t>1</w:t>
      </w:r>
      <w:bookmarkEnd w:id="1"/>
      <w:r>
        <w:rPr>
          <w:b w:val="0"/>
          <w:bCs w:val="0"/>
          <w:sz w:val="32"/>
          <w:szCs w:val="32"/>
        </w:rPr>
        <w:fldChar w:fldCharType="end"/>
      </w:r>
      <w:bookmarkEnd w:id="0"/>
      <w:r>
        <w:rPr>
          <w:rFonts w:hint="eastAsia"/>
          <w:b w:val="0"/>
          <w:bCs w:val="0"/>
          <w:sz w:val="32"/>
          <w:szCs w:val="32"/>
          <w:lang w:val="en-US" w:eastAsia="zh-CN"/>
        </w:rPr>
        <w:t>6</w:t>
      </w:r>
    </w:p>
    <w:p>
      <w:pPr>
        <w:jc w:val="center"/>
        <w:rPr>
          <w:rFonts w:hint="eastAsia" w:ascii="黑体" w:hAnsi="ˎ̥" w:eastAsia="黑体"/>
          <w:b/>
          <w:sz w:val="32"/>
          <w:szCs w:val="32"/>
          <w:lang w:val="en-US" w:eastAsia="zh-CN"/>
        </w:rPr>
      </w:pPr>
    </w:p>
    <w:p>
      <w:pPr>
        <w:jc w:val="center"/>
        <w:rPr>
          <w:rFonts w:hint="eastAsia" w:ascii="黑体" w:hAnsi="ˎ̥" w:eastAsia="黑体"/>
          <w:sz w:val="32"/>
          <w:szCs w:val="32"/>
        </w:rPr>
      </w:pPr>
      <w:bookmarkStart w:id="2" w:name="_Toc32433_WPSOffice_Level1"/>
      <w:bookmarkStart w:id="3" w:name="_Toc10720_WPSOffice_Level1"/>
      <w:bookmarkStart w:id="4" w:name="_Toc1704_WPSOffice_Level1"/>
      <w:bookmarkStart w:id="5" w:name="_Toc10049_WPSOffice_Level1"/>
      <w:bookmarkStart w:id="6" w:name="_Toc23465_WPSOffice_Level1"/>
      <w:bookmarkStart w:id="7" w:name="_Toc22941_WPSOffice_Level1"/>
      <w:r>
        <w:rPr>
          <w:rFonts w:hint="eastAsia" w:ascii="黑体" w:hAnsi="ˎ̥" w:eastAsia="黑体"/>
          <w:sz w:val="32"/>
          <w:szCs w:val="32"/>
          <w:lang w:eastAsia="zh-CN"/>
        </w:rPr>
        <w:t>第一部分</w:t>
      </w:r>
      <w:r>
        <w:rPr>
          <w:rFonts w:hint="eastAsia" w:ascii="黑体" w:hAnsi="ˎ̥" w:eastAsia="黑体"/>
          <w:sz w:val="32"/>
          <w:szCs w:val="32"/>
          <w:lang w:val="en-US" w:eastAsia="zh-CN"/>
        </w:rPr>
        <w:t xml:space="preserve"> 万宁市人民检察院部门</w:t>
      </w:r>
      <w:r>
        <w:rPr>
          <w:rFonts w:hint="eastAsia" w:ascii="黑体" w:hAnsi="ˎ̥" w:eastAsia="黑体"/>
          <w:sz w:val="32"/>
          <w:szCs w:val="32"/>
        </w:rPr>
        <w:t>概况</w:t>
      </w:r>
      <w:bookmarkEnd w:id="2"/>
      <w:bookmarkEnd w:id="3"/>
      <w:bookmarkEnd w:id="4"/>
      <w:bookmarkEnd w:id="5"/>
      <w:bookmarkEnd w:id="6"/>
      <w:bookmarkEnd w:id="7"/>
    </w:p>
    <w:p>
      <w:pPr>
        <w:ind w:firstLine="640" w:firstLineChars="200"/>
        <w:rPr>
          <w:rFonts w:hint="eastAsia" w:ascii="楷体" w:hAnsi="楷体" w:eastAsia="楷体" w:cs="楷体"/>
          <w:sz w:val="32"/>
          <w:szCs w:val="32"/>
          <w:lang w:eastAsia="zh-CN"/>
        </w:rPr>
      </w:pP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一、部门职责</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kern w:val="0"/>
          <w:sz w:val="32"/>
          <w:szCs w:val="30"/>
        </w:rPr>
      </w:pPr>
      <w:r>
        <w:rPr>
          <w:rFonts w:hint="eastAsia" w:ascii="仿宋_GB2312" w:hAnsi="仿宋_GB2312" w:eastAsia="仿宋_GB2312" w:cs="仿宋_GB2312"/>
          <w:color w:val="000000"/>
          <w:kern w:val="0"/>
          <w:sz w:val="32"/>
          <w:szCs w:val="30"/>
        </w:rPr>
        <w:t>万宁市人民检察院作为法律监督机关，依法履行法律监督职能，保证国家法律的统一和正确实施。其主要职责是：</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kern w:val="0"/>
          <w:sz w:val="32"/>
          <w:szCs w:val="30"/>
        </w:rPr>
      </w:pPr>
      <w:r>
        <w:rPr>
          <w:rFonts w:hint="eastAsia" w:ascii="仿宋_GB2312" w:hAnsi="仿宋_GB2312" w:eastAsia="仿宋_GB2312" w:cs="仿宋_GB2312"/>
          <w:color w:val="000000"/>
          <w:kern w:val="0"/>
          <w:sz w:val="32"/>
          <w:szCs w:val="30"/>
        </w:rPr>
        <w:t>（一）对万宁市人民代表大会及其</w:t>
      </w:r>
      <w:r>
        <w:rPr>
          <w:rFonts w:hint="eastAsia" w:ascii="仿宋_GB2312" w:hAnsi="仿宋_GB2312" w:eastAsia="仿宋_GB2312" w:cs="仿宋_GB2312"/>
          <w:sz w:val="32"/>
          <w:szCs w:val="32"/>
          <w:shd w:val="clear" w:color="auto" w:fill="FFFFFF"/>
        </w:rPr>
        <w:t>常务委员会负责并</w:t>
      </w:r>
      <w:r>
        <w:rPr>
          <w:rFonts w:hint="eastAsia" w:ascii="仿宋_GB2312" w:hAnsi="仿宋_GB2312" w:eastAsia="仿宋_GB2312" w:cs="仿宋_GB2312"/>
          <w:color w:val="000000"/>
          <w:kern w:val="0"/>
          <w:sz w:val="32"/>
          <w:szCs w:val="30"/>
        </w:rPr>
        <w:t>报告工作，接受万宁市人民代表大会及其</w:t>
      </w:r>
      <w:r>
        <w:rPr>
          <w:rFonts w:hint="eastAsia" w:ascii="仿宋_GB2312" w:hAnsi="仿宋_GB2312" w:eastAsia="仿宋_GB2312" w:cs="仿宋_GB2312"/>
          <w:sz w:val="32"/>
          <w:szCs w:val="32"/>
          <w:shd w:val="clear" w:color="auto" w:fill="FFFFFF"/>
        </w:rPr>
        <w:t>常务委员会</w:t>
      </w:r>
      <w:r>
        <w:rPr>
          <w:rFonts w:hint="eastAsia" w:ascii="仿宋_GB2312" w:hAnsi="仿宋_GB2312" w:eastAsia="仿宋_GB2312" w:cs="仿宋_GB2312"/>
          <w:color w:val="000000"/>
          <w:kern w:val="0"/>
          <w:sz w:val="32"/>
          <w:szCs w:val="30"/>
        </w:rPr>
        <w:t>的监督,</w:t>
      </w:r>
      <w:r>
        <w:rPr>
          <w:rFonts w:hint="eastAsia" w:ascii="仿宋_GB2312" w:hAnsi="仿宋_GB2312" w:eastAsia="仿宋_GB2312" w:cs="仿宋_GB2312"/>
          <w:sz w:val="32"/>
          <w:szCs w:val="32"/>
          <w:shd w:val="clear" w:color="auto" w:fill="FFFFFF"/>
        </w:rPr>
        <w:t>依法向万宁市人民代表大会及其常务委员会提出议案。</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color w:val="000000"/>
          <w:kern w:val="0"/>
          <w:sz w:val="32"/>
          <w:szCs w:val="30"/>
        </w:rPr>
        <w:t xml:space="preserve">    （二）</w:t>
      </w:r>
      <w:r>
        <w:rPr>
          <w:rFonts w:hint="eastAsia" w:ascii="仿宋_GB2312" w:hAnsi="仿宋_GB2312" w:eastAsia="仿宋_GB2312" w:cs="仿宋_GB2312"/>
          <w:bCs/>
          <w:color w:val="000000"/>
          <w:kern w:val="0"/>
          <w:sz w:val="32"/>
          <w:szCs w:val="32"/>
        </w:rPr>
        <w:t>对万宁市公安机关等侦查机关的案件进行审查，决定是否速捕、起诉或不起诉，并对侦查机关的侦查活动是否合法实施监督。</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kern w:val="0"/>
          <w:sz w:val="32"/>
          <w:szCs w:val="30"/>
        </w:rPr>
      </w:pPr>
      <w:r>
        <w:rPr>
          <w:rFonts w:hint="eastAsia" w:ascii="仿宋_GB2312" w:hAnsi="仿宋_GB2312" w:eastAsia="仿宋_GB2312" w:cs="仿宋_GB2312"/>
          <w:color w:val="000000"/>
          <w:kern w:val="0"/>
          <w:sz w:val="32"/>
          <w:szCs w:val="30"/>
        </w:rPr>
        <w:t>（三）依法对本市民事和行政案件审判活动进行法律监督。</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kern w:val="0"/>
          <w:sz w:val="32"/>
          <w:szCs w:val="30"/>
        </w:rPr>
      </w:pPr>
      <w:r>
        <w:rPr>
          <w:rFonts w:hint="eastAsia" w:ascii="仿宋_GB2312" w:hAnsi="仿宋_GB2312" w:eastAsia="仿宋_GB2312" w:cs="仿宋_GB2312"/>
          <w:color w:val="000000"/>
          <w:kern w:val="0"/>
          <w:sz w:val="32"/>
          <w:szCs w:val="30"/>
        </w:rPr>
        <w:t>（四） 依法对执行机关执行刑罚的活动和监管活动是否合法、合规实行监督。</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kern w:val="0"/>
          <w:sz w:val="32"/>
          <w:szCs w:val="30"/>
        </w:rPr>
      </w:pPr>
      <w:r>
        <w:rPr>
          <w:rFonts w:hint="eastAsia" w:ascii="仿宋_GB2312" w:hAnsi="仿宋_GB2312" w:eastAsia="仿宋_GB2312" w:cs="仿宋_GB2312"/>
          <w:color w:val="000000"/>
          <w:kern w:val="0"/>
          <w:sz w:val="32"/>
          <w:szCs w:val="30"/>
        </w:rPr>
        <w:t>（五）</w:t>
      </w:r>
      <w:r>
        <w:rPr>
          <w:rFonts w:hint="eastAsia" w:ascii="仿宋_GB2312" w:hAnsi="仿宋_GB2312" w:eastAsia="仿宋_GB2312" w:cs="仿宋_GB2312"/>
          <w:bCs/>
          <w:color w:val="000000"/>
          <w:kern w:val="0"/>
          <w:sz w:val="32"/>
          <w:szCs w:val="32"/>
        </w:rPr>
        <w:t>负责对本市监察委移送的职务犯案件的批准逮捕、审查起诉等工作。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kern w:val="0"/>
          <w:sz w:val="32"/>
          <w:szCs w:val="30"/>
        </w:rPr>
      </w:pPr>
      <w:r>
        <w:rPr>
          <w:rFonts w:hint="eastAsia" w:ascii="仿宋_GB2312" w:hAnsi="仿宋_GB2312" w:eastAsia="仿宋_GB2312" w:cs="仿宋_GB2312"/>
          <w:color w:val="000000"/>
          <w:kern w:val="0"/>
          <w:sz w:val="32"/>
          <w:szCs w:val="30"/>
        </w:rPr>
        <w:t xml:space="preserve">（六）受理公民控告、申诉和检举；办理司法救助事项。 </w:t>
      </w:r>
    </w:p>
    <w:p>
      <w:pPr>
        <w:keepNext w:val="0"/>
        <w:keepLines w:val="0"/>
        <w:pageBreakBefore w:val="0"/>
        <w:widowControl w:val="0"/>
        <w:kinsoku/>
        <w:wordWrap/>
        <w:overflowPunct/>
        <w:topLinePunct w:val="0"/>
        <w:autoSpaceDE/>
        <w:autoSpaceDN/>
        <w:bidi w:val="0"/>
        <w:spacing w:line="560" w:lineRule="exact"/>
        <w:ind w:firstLine="800" w:firstLineChars="25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(七）负责对刑事判决、裁定的执行和监管活动实行法律监督；对服刑人员的又犯罪案件和劳教人员的犯罪案件审查批捕、提起公诉等工作。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（八）对破坏生态环境和资源保护、食品药品安全、国有财产保护、国有土地使用权出让、英烈权益保护等提害国</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家和社会公共利益的行为实行监督，对负有监管职责的行政法行使职权或者不作为的，督促履行职责；行政机关不履行职责的，依法向人民法院提起诉讼。</w:t>
      </w:r>
    </w:p>
    <w:p>
      <w:pPr>
        <w:keepNext w:val="0"/>
        <w:keepLines w:val="0"/>
        <w:pageBreakBefore w:val="0"/>
        <w:widowControl w:val="0"/>
        <w:numPr>
          <w:ilvl w:val="0"/>
          <w:numId w:val="2"/>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kern w:val="0"/>
          <w:sz w:val="32"/>
          <w:szCs w:val="30"/>
          <w:lang w:val="en-US" w:eastAsia="zh-CN"/>
        </w:rPr>
      </w:pPr>
      <w:r>
        <w:rPr>
          <w:rFonts w:hint="eastAsia" w:ascii="仿宋_GB2312" w:hAnsi="仿宋_GB2312" w:eastAsia="仿宋_GB2312" w:cs="仿宋_GB2312"/>
          <w:color w:val="000000"/>
          <w:kern w:val="0"/>
          <w:sz w:val="32"/>
          <w:szCs w:val="30"/>
        </w:rPr>
        <w:t>负责上级检察院交办的事项。</w:t>
      </w:r>
    </w:p>
    <w:p>
      <w:pPr>
        <w:keepNext w:val="0"/>
        <w:keepLines w:val="0"/>
        <w:pageBreakBefore w:val="0"/>
        <w:widowControl w:val="0"/>
        <w:numPr>
          <w:ilvl w:val="0"/>
          <w:numId w:val="0"/>
        </w:numPr>
        <w:kinsoku/>
        <w:wordWrap/>
        <w:overflowPunct/>
        <w:topLinePunct w:val="0"/>
        <w:autoSpaceDE/>
        <w:autoSpaceDN/>
        <w:bidi w:val="0"/>
        <w:spacing w:line="560" w:lineRule="exact"/>
        <w:textAlignment w:val="auto"/>
        <w:rPr>
          <w:rFonts w:hint="eastAsia" w:ascii="仿宋_GB2312" w:hAnsi="仿宋_GB2312" w:eastAsia="仿宋_GB2312" w:cs="仿宋_GB2312"/>
          <w:color w:val="000000"/>
          <w:kern w:val="0"/>
          <w:sz w:val="32"/>
          <w:szCs w:val="30"/>
          <w:lang w:val="en-US" w:eastAsia="zh-CN"/>
        </w:rPr>
      </w:pP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二、机构设置</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纳入</w:t>
      </w:r>
      <w:r>
        <w:rPr>
          <w:rFonts w:hint="eastAsia" w:ascii="仿宋_GB2312" w:hAnsi="仿宋_GB2312" w:eastAsia="仿宋_GB2312" w:cs="仿宋_GB2312"/>
          <w:color w:val="000000"/>
          <w:sz w:val="32"/>
          <w:szCs w:val="32"/>
          <w:lang w:eastAsia="zh-CN"/>
        </w:rPr>
        <w:t>万宁市</w:t>
      </w:r>
      <w:r>
        <w:rPr>
          <w:rFonts w:hint="eastAsia" w:ascii="仿宋_GB2312" w:hAnsi="仿宋_GB2312" w:eastAsia="仿宋_GB2312" w:cs="仿宋_GB2312"/>
          <w:color w:val="000000"/>
          <w:sz w:val="32"/>
          <w:szCs w:val="32"/>
        </w:rPr>
        <w:t>人民检察院20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年度部门决算编制范围的预算单位为</w:t>
      </w:r>
      <w:r>
        <w:rPr>
          <w:rFonts w:hint="eastAsia" w:ascii="仿宋_GB2312" w:hAnsi="仿宋_GB2312" w:eastAsia="仿宋_GB2312" w:cs="仿宋_GB2312"/>
          <w:color w:val="000000"/>
          <w:sz w:val="32"/>
          <w:szCs w:val="32"/>
          <w:lang w:eastAsia="zh-CN"/>
        </w:rPr>
        <w:t>万宁市</w:t>
      </w:r>
      <w:r>
        <w:rPr>
          <w:rFonts w:hint="eastAsia" w:ascii="仿宋_GB2312" w:hAnsi="仿宋_GB2312" w:eastAsia="仿宋_GB2312" w:cs="仿宋_GB2312"/>
          <w:color w:val="000000"/>
          <w:sz w:val="32"/>
          <w:szCs w:val="32"/>
        </w:rPr>
        <w:t>人民检察院本级，无下属单位。本部门</w:t>
      </w:r>
      <w:r>
        <w:rPr>
          <w:rFonts w:hint="eastAsia" w:ascii="仿宋_GB2312" w:hAnsi="仿宋_GB2312" w:eastAsia="仿宋_GB2312" w:cs="仿宋_GB2312"/>
          <w:sz w:val="32"/>
          <w:szCs w:val="32"/>
        </w:rPr>
        <w:t>下设10个内设机构，</w:t>
      </w:r>
      <w:r>
        <w:rPr>
          <w:rFonts w:hint="eastAsia" w:ascii="仿宋_GB2312" w:hAnsi="仿宋_GB2312" w:eastAsia="仿宋_GB2312" w:cs="仿宋_GB2312"/>
          <w:color w:val="000000"/>
          <w:sz w:val="32"/>
          <w:szCs w:val="32"/>
        </w:rPr>
        <w:t>即第一检察部、第二检察部、第三检察部、第四检察部、第五检察部、第六检察部、政治部、办公室及派驻</w:t>
      </w:r>
      <w:r>
        <w:rPr>
          <w:rFonts w:hint="eastAsia" w:ascii="仿宋_GB2312" w:hAnsi="仿宋_GB2312" w:eastAsia="仿宋_GB2312" w:cs="仿宋_GB2312"/>
          <w:color w:val="000000"/>
          <w:sz w:val="32"/>
          <w:szCs w:val="32"/>
          <w:lang w:eastAsia="zh-CN"/>
        </w:rPr>
        <w:t>兴隆</w:t>
      </w:r>
      <w:r>
        <w:rPr>
          <w:rFonts w:hint="eastAsia" w:ascii="仿宋_GB2312" w:hAnsi="仿宋_GB2312" w:eastAsia="仿宋_GB2312" w:cs="仿宋_GB2312"/>
          <w:color w:val="000000"/>
          <w:sz w:val="32"/>
          <w:szCs w:val="32"/>
        </w:rPr>
        <w:t>检察室和派驻</w:t>
      </w:r>
      <w:r>
        <w:rPr>
          <w:rFonts w:hint="eastAsia" w:ascii="仿宋_GB2312" w:hAnsi="仿宋_GB2312" w:eastAsia="仿宋_GB2312" w:cs="仿宋_GB2312"/>
          <w:color w:val="000000"/>
          <w:sz w:val="32"/>
          <w:szCs w:val="32"/>
          <w:lang w:eastAsia="zh-CN"/>
        </w:rPr>
        <w:t>和乐</w:t>
      </w:r>
      <w:r>
        <w:rPr>
          <w:rFonts w:hint="eastAsia" w:ascii="仿宋_GB2312" w:hAnsi="仿宋_GB2312" w:eastAsia="仿宋_GB2312" w:cs="仿宋_GB2312"/>
          <w:color w:val="000000"/>
          <w:sz w:val="32"/>
          <w:szCs w:val="32"/>
        </w:rPr>
        <w:t>检察室。</w:t>
      </w:r>
    </w:p>
    <w:p>
      <w:pPr>
        <w:ind w:firstLine="640" w:firstLineChars="200"/>
        <w:rPr>
          <w:rFonts w:hint="eastAsia" w:ascii="仿宋_GB2312" w:hAnsi="仿宋_GB2312" w:eastAsia="仿宋_GB2312" w:cs="仿宋_GB2312"/>
          <w:color w:val="000000"/>
          <w:sz w:val="32"/>
          <w:szCs w:val="32"/>
        </w:rPr>
      </w:pPr>
    </w:p>
    <w:p>
      <w:pPr>
        <w:numPr>
          <w:ilvl w:val="0"/>
          <w:numId w:val="3"/>
        </w:numPr>
        <w:jc w:val="center"/>
        <w:rPr>
          <w:rFonts w:hint="eastAsia" w:ascii="黑体" w:hAnsi="ˎ̥" w:eastAsia="黑体"/>
          <w:b w:val="0"/>
          <w:bCs w:val="0"/>
          <w:sz w:val="32"/>
          <w:szCs w:val="32"/>
        </w:rPr>
      </w:pPr>
      <w:bookmarkStart w:id="8" w:name="_Toc15521_WPSOffice_Level1"/>
      <w:bookmarkStart w:id="9" w:name="_Toc30451_WPSOffice_Level1"/>
      <w:bookmarkStart w:id="10" w:name="_Toc8164_WPSOffice_Level1"/>
      <w:bookmarkStart w:id="11" w:name="_Toc28253_WPSOffice_Level1"/>
      <w:bookmarkStart w:id="12" w:name="_Toc6234_WPSOffice_Level1"/>
      <w:bookmarkStart w:id="13" w:name="_Toc30690_WPSOffice_Level1"/>
      <w:bookmarkStart w:id="14" w:name="_Toc8867_WPSOffice_Level2"/>
      <w:bookmarkStart w:id="15" w:name="_Toc32695_WPSOffice_Level2"/>
      <w:bookmarkStart w:id="16" w:name="_Toc6211_WPSOffice_Level2"/>
      <w:bookmarkStart w:id="17" w:name="_Toc11518_WPSOffice_Level2"/>
      <w:bookmarkStart w:id="18" w:name="_Toc4029_WPSOffice_Level2"/>
      <w:bookmarkStart w:id="19" w:name="_Toc32472_WPSOffice_Level2"/>
      <w:r>
        <w:rPr>
          <w:rFonts w:hint="eastAsia" w:ascii="黑体" w:hAnsi="ˎ̥" w:eastAsia="黑体"/>
          <w:b w:val="0"/>
          <w:bCs w:val="0"/>
          <w:sz w:val="32"/>
          <w:szCs w:val="32"/>
          <w:lang w:val="en-US" w:eastAsia="zh-CN"/>
        </w:rPr>
        <w:t>万宁市人民检察院</w:t>
      </w:r>
      <w:r>
        <w:rPr>
          <w:rFonts w:hint="eastAsia" w:ascii="黑体" w:hAnsi="ˎ̥" w:eastAsia="黑体"/>
          <w:b w:val="0"/>
          <w:bCs w:val="0"/>
          <w:sz w:val="32"/>
          <w:szCs w:val="32"/>
          <w:lang w:eastAsia="zh-CN"/>
        </w:rPr>
        <w:t>2020年度</w:t>
      </w:r>
      <w:r>
        <w:rPr>
          <w:rFonts w:hint="eastAsia" w:ascii="黑体" w:hAnsi="ˎ̥" w:eastAsia="黑体"/>
          <w:b w:val="0"/>
          <w:bCs w:val="0"/>
          <w:sz w:val="32"/>
          <w:szCs w:val="32"/>
        </w:rPr>
        <w:t>部门决算</w:t>
      </w:r>
      <w:r>
        <w:rPr>
          <w:rFonts w:hint="eastAsia" w:ascii="黑体" w:hAnsi="ˎ̥" w:eastAsia="黑体"/>
          <w:b w:val="0"/>
          <w:bCs w:val="0"/>
          <w:sz w:val="32"/>
          <w:szCs w:val="32"/>
          <w:lang w:eastAsia="zh-CN"/>
        </w:rPr>
        <w:t>公开</w:t>
      </w:r>
      <w:r>
        <w:rPr>
          <w:rFonts w:hint="eastAsia" w:ascii="黑体" w:hAnsi="ˎ̥" w:eastAsia="黑体"/>
          <w:b w:val="0"/>
          <w:bCs w:val="0"/>
          <w:sz w:val="32"/>
          <w:szCs w:val="32"/>
        </w:rPr>
        <w:t>报表</w:t>
      </w:r>
      <w:bookmarkEnd w:id="8"/>
      <w:bookmarkEnd w:id="9"/>
      <w:bookmarkEnd w:id="10"/>
      <w:bookmarkEnd w:id="11"/>
      <w:bookmarkEnd w:id="12"/>
      <w:bookmarkEnd w:id="13"/>
    </w:p>
    <w:p>
      <w:pPr>
        <w:numPr>
          <w:ilvl w:val="0"/>
          <w:numId w:val="0"/>
        </w:numPr>
        <w:jc w:val="both"/>
        <w:rPr>
          <w:rFonts w:hint="eastAsia" w:ascii="黑体" w:hAnsi="ˎ̥" w:eastAsia="黑体"/>
          <w:b w:val="0"/>
          <w:bCs w:val="0"/>
          <w:sz w:val="32"/>
          <w:szCs w:val="32"/>
        </w:rPr>
      </w:pPr>
    </w:p>
    <w:p>
      <w:pPr>
        <w:ind w:firstLine="645"/>
        <w:rPr>
          <w:rFonts w:hint="eastAsia" w:ascii="黑体" w:hAnsi="黑体" w:eastAsia="黑体" w:cs="黑体"/>
          <w:sz w:val="32"/>
          <w:szCs w:val="32"/>
          <w:lang w:eastAsia="zh-CN"/>
        </w:rPr>
      </w:pPr>
      <w:r>
        <w:rPr>
          <w:rFonts w:hint="eastAsia" w:ascii="黑体" w:hAnsi="黑体" w:eastAsia="黑体" w:cs="黑体"/>
          <w:sz w:val="32"/>
          <w:szCs w:val="32"/>
          <w:lang w:val="en-US" w:eastAsia="zh-CN"/>
        </w:rPr>
        <w:t>一、</w:t>
      </w:r>
      <w:r>
        <w:rPr>
          <w:rFonts w:hint="eastAsia" w:ascii="黑体" w:hAnsi="黑体" w:eastAsia="黑体" w:cs="黑体"/>
          <w:sz w:val="32"/>
          <w:szCs w:val="32"/>
        </w:rPr>
        <w:t>收入支出决算</w:t>
      </w:r>
      <w:r>
        <w:rPr>
          <w:rFonts w:hint="eastAsia" w:ascii="黑体" w:hAnsi="黑体" w:eastAsia="黑体" w:cs="黑体"/>
          <w:sz w:val="32"/>
          <w:szCs w:val="32"/>
          <w:lang w:eastAsia="zh-CN"/>
        </w:rPr>
        <w:t>公开表（见正文附件）</w:t>
      </w:r>
      <w:bookmarkEnd w:id="14"/>
      <w:bookmarkEnd w:id="15"/>
      <w:bookmarkEnd w:id="16"/>
      <w:r>
        <w:rPr>
          <w:rFonts w:hint="eastAsia" w:ascii="黑体" w:hAnsi="黑体" w:eastAsia="黑体" w:cs="黑体"/>
          <w:sz w:val="32"/>
          <w:szCs w:val="32"/>
          <w:lang w:eastAsia="zh-CN"/>
        </w:rPr>
        <w:t>。</w:t>
      </w:r>
      <w:bookmarkEnd w:id="17"/>
      <w:bookmarkEnd w:id="18"/>
      <w:bookmarkEnd w:id="19"/>
    </w:p>
    <w:p>
      <w:pPr>
        <w:ind w:firstLine="645"/>
        <w:rPr>
          <w:rFonts w:hint="eastAsia" w:ascii="黑体" w:hAnsi="黑体" w:eastAsia="黑体" w:cs="黑体"/>
          <w:sz w:val="32"/>
          <w:szCs w:val="32"/>
          <w:lang w:eastAsia="zh-CN"/>
        </w:rPr>
      </w:pPr>
      <w:bookmarkStart w:id="20" w:name="_Toc26621_WPSOffice_Level2"/>
      <w:bookmarkStart w:id="21" w:name="_Toc25608_WPSOffice_Level2"/>
      <w:bookmarkStart w:id="22" w:name="_Toc23139_WPSOffice_Level2"/>
      <w:bookmarkStart w:id="23" w:name="_Toc28622_WPSOffice_Level2"/>
      <w:bookmarkStart w:id="24" w:name="_Toc30334_WPSOffice_Level2"/>
      <w:bookmarkStart w:id="25" w:name="_Toc14349_WPSOffice_Level2"/>
      <w:r>
        <w:rPr>
          <w:rFonts w:hint="eastAsia" w:ascii="黑体" w:hAnsi="黑体" w:eastAsia="黑体" w:cs="黑体"/>
          <w:sz w:val="32"/>
          <w:szCs w:val="32"/>
          <w:lang w:val="en-US" w:eastAsia="zh-CN"/>
        </w:rPr>
        <w:t>二、</w:t>
      </w:r>
      <w:r>
        <w:rPr>
          <w:rFonts w:hint="eastAsia" w:ascii="黑体" w:hAnsi="黑体" w:eastAsia="黑体" w:cs="黑体"/>
          <w:sz w:val="32"/>
          <w:szCs w:val="32"/>
        </w:rPr>
        <w:t>收入决算</w:t>
      </w:r>
      <w:r>
        <w:rPr>
          <w:rFonts w:hint="eastAsia" w:ascii="黑体" w:hAnsi="黑体" w:eastAsia="黑体" w:cs="黑体"/>
          <w:sz w:val="32"/>
          <w:szCs w:val="32"/>
          <w:lang w:eastAsia="zh-CN"/>
        </w:rPr>
        <w:t>公开表（见正文附件）</w:t>
      </w:r>
      <w:bookmarkEnd w:id="20"/>
      <w:bookmarkEnd w:id="21"/>
      <w:bookmarkEnd w:id="22"/>
      <w:r>
        <w:rPr>
          <w:rFonts w:hint="eastAsia" w:ascii="黑体" w:hAnsi="黑体" w:eastAsia="黑体" w:cs="黑体"/>
          <w:sz w:val="32"/>
          <w:szCs w:val="32"/>
          <w:lang w:eastAsia="zh-CN"/>
        </w:rPr>
        <w:t>。</w:t>
      </w:r>
      <w:bookmarkEnd w:id="23"/>
      <w:bookmarkEnd w:id="24"/>
      <w:bookmarkEnd w:id="25"/>
    </w:p>
    <w:p>
      <w:pPr>
        <w:ind w:firstLine="645"/>
        <w:rPr>
          <w:rFonts w:hint="eastAsia" w:ascii="黑体" w:hAnsi="黑体" w:eastAsia="黑体" w:cs="黑体"/>
          <w:sz w:val="32"/>
          <w:szCs w:val="32"/>
          <w:lang w:eastAsia="zh-CN"/>
        </w:rPr>
      </w:pPr>
      <w:bookmarkStart w:id="26" w:name="_Toc17858_WPSOffice_Level2"/>
      <w:bookmarkStart w:id="27" w:name="_Toc17626_WPSOffice_Level2"/>
      <w:bookmarkStart w:id="28" w:name="_Toc3262_WPSOffice_Level2"/>
      <w:bookmarkStart w:id="29" w:name="_Toc13854_WPSOffice_Level2"/>
      <w:bookmarkStart w:id="30" w:name="_Toc5489_WPSOffice_Level2"/>
      <w:bookmarkStart w:id="31" w:name="_Toc14658_WPSOffice_Level2"/>
      <w:r>
        <w:rPr>
          <w:rFonts w:hint="eastAsia" w:ascii="黑体" w:hAnsi="黑体" w:eastAsia="黑体" w:cs="黑体"/>
          <w:sz w:val="32"/>
          <w:szCs w:val="32"/>
          <w:lang w:val="en-US" w:eastAsia="zh-CN"/>
        </w:rPr>
        <w:t>三、</w:t>
      </w:r>
      <w:r>
        <w:rPr>
          <w:rFonts w:hint="eastAsia" w:ascii="黑体" w:hAnsi="黑体" w:eastAsia="黑体" w:cs="黑体"/>
          <w:sz w:val="32"/>
          <w:szCs w:val="32"/>
        </w:rPr>
        <w:t>支出决算</w:t>
      </w:r>
      <w:r>
        <w:rPr>
          <w:rFonts w:hint="eastAsia" w:ascii="黑体" w:hAnsi="黑体" w:eastAsia="黑体" w:cs="黑体"/>
          <w:sz w:val="32"/>
          <w:szCs w:val="32"/>
          <w:lang w:eastAsia="zh-CN"/>
        </w:rPr>
        <w:t>公开表（见正文附件）</w:t>
      </w:r>
      <w:bookmarkEnd w:id="26"/>
      <w:bookmarkEnd w:id="27"/>
      <w:bookmarkEnd w:id="28"/>
      <w:r>
        <w:rPr>
          <w:rFonts w:hint="eastAsia" w:ascii="黑体" w:hAnsi="黑体" w:eastAsia="黑体" w:cs="黑体"/>
          <w:sz w:val="32"/>
          <w:szCs w:val="32"/>
          <w:lang w:eastAsia="zh-CN"/>
        </w:rPr>
        <w:t>。</w:t>
      </w:r>
      <w:bookmarkEnd w:id="29"/>
      <w:bookmarkEnd w:id="30"/>
      <w:bookmarkEnd w:id="31"/>
    </w:p>
    <w:p>
      <w:pPr>
        <w:ind w:firstLine="645"/>
        <w:rPr>
          <w:rFonts w:hint="eastAsia" w:ascii="黑体" w:hAnsi="黑体" w:eastAsia="黑体" w:cs="黑体"/>
          <w:sz w:val="32"/>
          <w:szCs w:val="32"/>
          <w:lang w:eastAsia="zh-CN"/>
        </w:rPr>
      </w:pPr>
      <w:bookmarkStart w:id="32" w:name="_Toc23591_WPSOffice_Level2"/>
      <w:bookmarkStart w:id="33" w:name="_Toc13701_WPSOffice_Level2"/>
      <w:bookmarkStart w:id="34" w:name="_Toc21415_WPSOffice_Level2"/>
      <w:bookmarkStart w:id="35" w:name="_Toc7988_WPSOffice_Level2"/>
      <w:bookmarkStart w:id="36" w:name="_Toc4265_WPSOffice_Level2"/>
      <w:bookmarkStart w:id="37" w:name="_Toc23493_WPSOffice_Level2"/>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w:t>
      </w:r>
      <w:r>
        <w:rPr>
          <w:rFonts w:hint="eastAsia" w:ascii="黑体" w:hAnsi="黑体" w:eastAsia="黑体" w:cs="黑体"/>
          <w:sz w:val="32"/>
          <w:szCs w:val="32"/>
        </w:rPr>
        <w:t>财政拨款收入支出决算</w:t>
      </w:r>
      <w:r>
        <w:rPr>
          <w:rFonts w:hint="eastAsia" w:ascii="黑体" w:hAnsi="黑体" w:eastAsia="黑体" w:cs="黑体"/>
          <w:sz w:val="32"/>
          <w:szCs w:val="32"/>
          <w:lang w:eastAsia="zh-CN"/>
        </w:rPr>
        <w:t>公开表（见正文附件）</w:t>
      </w:r>
      <w:bookmarkEnd w:id="32"/>
      <w:bookmarkEnd w:id="33"/>
      <w:bookmarkEnd w:id="34"/>
      <w:r>
        <w:rPr>
          <w:rFonts w:hint="eastAsia" w:ascii="黑体" w:hAnsi="黑体" w:eastAsia="黑体" w:cs="黑体"/>
          <w:sz w:val="32"/>
          <w:szCs w:val="32"/>
          <w:lang w:eastAsia="zh-CN"/>
        </w:rPr>
        <w:t>。</w:t>
      </w:r>
      <w:bookmarkEnd w:id="35"/>
      <w:bookmarkEnd w:id="36"/>
      <w:bookmarkEnd w:id="37"/>
    </w:p>
    <w:p>
      <w:pPr>
        <w:ind w:firstLine="645"/>
        <w:rPr>
          <w:rFonts w:hint="eastAsia" w:ascii="黑体" w:hAnsi="黑体" w:eastAsia="黑体" w:cs="黑体"/>
          <w:sz w:val="32"/>
          <w:szCs w:val="32"/>
          <w:lang w:eastAsia="zh-CN"/>
        </w:rPr>
      </w:pPr>
      <w:bookmarkStart w:id="38" w:name="_Toc25166_WPSOffice_Level2"/>
      <w:bookmarkStart w:id="39" w:name="_Toc22783_WPSOffice_Level2"/>
      <w:bookmarkStart w:id="40" w:name="_Toc7879_WPSOffice_Level2"/>
      <w:bookmarkStart w:id="41" w:name="_Toc23829_WPSOffice_Level2"/>
      <w:bookmarkStart w:id="42" w:name="_Toc13516_WPSOffice_Level2"/>
      <w:bookmarkStart w:id="43" w:name="_Toc2158_WPSOffice_Level2"/>
      <w:r>
        <w:rPr>
          <w:rFonts w:hint="eastAsia" w:ascii="黑体" w:hAnsi="黑体" w:eastAsia="黑体" w:cs="黑体"/>
          <w:sz w:val="32"/>
          <w:szCs w:val="32"/>
          <w:lang w:val="en-US" w:eastAsia="zh-CN"/>
        </w:rPr>
        <w:t>五、</w:t>
      </w:r>
      <w:r>
        <w:rPr>
          <w:rFonts w:hint="eastAsia" w:ascii="黑体" w:hAnsi="黑体" w:eastAsia="黑体" w:cs="黑体"/>
          <w:sz w:val="32"/>
          <w:szCs w:val="32"/>
        </w:rPr>
        <w:t>一般公共预算财政拨款收入支出决算</w:t>
      </w:r>
      <w:bookmarkEnd w:id="38"/>
      <w:bookmarkEnd w:id="39"/>
      <w:bookmarkEnd w:id="40"/>
      <w:bookmarkEnd w:id="41"/>
      <w:r>
        <w:rPr>
          <w:rFonts w:hint="eastAsia" w:ascii="黑体" w:hAnsi="黑体" w:eastAsia="黑体" w:cs="黑体"/>
          <w:sz w:val="32"/>
          <w:szCs w:val="32"/>
          <w:lang w:eastAsia="zh-CN"/>
        </w:rPr>
        <w:t>公开表</w:t>
      </w:r>
    </w:p>
    <w:p>
      <w:pPr>
        <w:ind w:firstLine="1302" w:firstLineChars="407"/>
        <w:rPr>
          <w:rFonts w:hint="eastAsia" w:ascii="黑体" w:hAnsi="黑体" w:eastAsia="黑体" w:cs="黑体"/>
          <w:sz w:val="32"/>
          <w:szCs w:val="32"/>
          <w:lang w:eastAsia="zh-CN"/>
        </w:rPr>
      </w:pPr>
      <w:r>
        <w:rPr>
          <w:rFonts w:hint="eastAsia" w:ascii="黑体" w:hAnsi="黑体" w:eastAsia="黑体" w:cs="黑体"/>
          <w:sz w:val="32"/>
          <w:szCs w:val="32"/>
          <w:lang w:eastAsia="zh-CN"/>
        </w:rPr>
        <w:t>（见正文附件）</w:t>
      </w:r>
      <w:bookmarkEnd w:id="42"/>
      <w:bookmarkEnd w:id="43"/>
      <w:r>
        <w:rPr>
          <w:rFonts w:hint="eastAsia" w:ascii="黑体" w:hAnsi="黑体" w:eastAsia="黑体" w:cs="黑体"/>
          <w:sz w:val="32"/>
          <w:szCs w:val="32"/>
          <w:lang w:eastAsia="zh-CN"/>
        </w:rPr>
        <w:t>。</w:t>
      </w:r>
    </w:p>
    <w:p>
      <w:pPr>
        <w:ind w:firstLine="645"/>
        <w:rPr>
          <w:rFonts w:hint="eastAsia" w:ascii="黑体" w:hAnsi="黑体" w:eastAsia="黑体" w:cs="黑体"/>
          <w:sz w:val="32"/>
          <w:szCs w:val="32"/>
        </w:rPr>
      </w:pPr>
      <w:bookmarkStart w:id="44" w:name="_Toc17833_WPSOffice_Level2"/>
      <w:bookmarkStart w:id="45" w:name="_Toc5343_WPSOffice_Level2"/>
      <w:bookmarkStart w:id="46" w:name="_Toc8373_WPSOffice_Level2"/>
      <w:bookmarkStart w:id="47" w:name="_Toc17283_WPSOffice_Level2"/>
      <w:bookmarkStart w:id="48" w:name="_Toc2632_WPSOffice_Level2"/>
      <w:bookmarkStart w:id="49" w:name="_Toc25362_WPSOffice_Level2"/>
      <w:r>
        <w:rPr>
          <w:rFonts w:hint="eastAsia" w:ascii="黑体" w:hAnsi="黑体" w:eastAsia="黑体" w:cs="黑体"/>
          <w:sz w:val="32"/>
          <w:szCs w:val="32"/>
          <w:lang w:val="en-US" w:eastAsia="zh-CN"/>
        </w:rPr>
        <w:t>六、</w:t>
      </w:r>
      <w:r>
        <w:rPr>
          <w:rFonts w:hint="eastAsia" w:ascii="黑体" w:hAnsi="黑体" w:eastAsia="黑体" w:cs="黑体"/>
          <w:sz w:val="32"/>
          <w:szCs w:val="32"/>
        </w:rPr>
        <w:t>一般公共预算财政拨款基本支出决算</w:t>
      </w:r>
      <w:bookmarkEnd w:id="44"/>
      <w:bookmarkEnd w:id="45"/>
      <w:bookmarkEnd w:id="46"/>
      <w:bookmarkEnd w:id="47"/>
      <w:bookmarkEnd w:id="48"/>
      <w:bookmarkEnd w:id="49"/>
      <w:r>
        <w:rPr>
          <w:rFonts w:hint="eastAsia" w:ascii="黑体" w:hAnsi="黑体" w:eastAsia="黑体" w:cs="黑体"/>
          <w:sz w:val="32"/>
          <w:szCs w:val="32"/>
          <w:lang w:eastAsia="zh-CN"/>
        </w:rPr>
        <w:t>公开表</w:t>
      </w:r>
    </w:p>
    <w:p>
      <w:pPr>
        <w:ind w:firstLine="1280" w:firstLineChars="400"/>
        <w:rPr>
          <w:rFonts w:hint="eastAsia" w:ascii="黑体" w:hAnsi="黑体" w:eastAsia="黑体" w:cs="黑体"/>
          <w:sz w:val="32"/>
          <w:szCs w:val="32"/>
          <w:lang w:eastAsia="zh-CN"/>
        </w:rPr>
      </w:pPr>
      <w:r>
        <w:rPr>
          <w:rFonts w:hint="eastAsia" w:ascii="黑体" w:hAnsi="黑体" w:eastAsia="黑体" w:cs="黑体"/>
          <w:sz w:val="32"/>
          <w:szCs w:val="32"/>
          <w:lang w:eastAsia="zh-CN"/>
        </w:rPr>
        <w:t>（见正文附件）。</w:t>
      </w:r>
    </w:p>
    <w:p>
      <w:pPr>
        <w:ind w:left="1118" w:leftChars="304" w:hanging="480" w:hangingChars="150"/>
        <w:rPr>
          <w:rFonts w:hint="eastAsia" w:ascii="黑体" w:hAnsi="黑体" w:eastAsia="黑体" w:cs="黑体"/>
          <w:sz w:val="32"/>
          <w:szCs w:val="32"/>
        </w:rPr>
      </w:pPr>
      <w:bookmarkStart w:id="50" w:name="_Toc21310_WPSOffice_Level2"/>
      <w:bookmarkStart w:id="51" w:name="_Toc6020_WPSOffice_Level2"/>
      <w:bookmarkStart w:id="52" w:name="_Toc1533_WPSOffice_Level2"/>
      <w:bookmarkStart w:id="53" w:name="_Toc5594_WPSOffice_Level2"/>
      <w:bookmarkStart w:id="54" w:name="_Toc13345_WPSOffice_Level2"/>
      <w:bookmarkStart w:id="55" w:name="_Toc11799_WPSOffice_Level2"/>
      <w:r>
        <w:rPr>
          <w:rFonts w:hint="eastAsia" w:ascii="黑体" w:hAnsi="黑体" w:eastAsia="黑体" w:cs="黑体"/>
          <w:sz w:val="32"/>
          <w:szCs w:val="32"/>
          <w:lang w:val="en-US" w:eastAsia="zh-CN"/>
        </w:rPr>
        <w:t>七、</w:t>
      </w:r>
      <w:r>
        <w:rPr>
          <w:rFonts w:hint="eastAsia" w:ascii="黑体" w:hAnsi="黑体" w:eastAsia="黑体" w:cs="黑体"/>
          <w:sz w:val="32"/>
          <w:szCs w:val="32"/>
        </w:rPr>
        <w:t>政府性基金预算财政拨款收入支出决算</w:t>
      </w:r>
      <w:bookmarkEnd w:id="50"/>
      <w:bookmarkEnd w:id="51"/>
      <w:bookmarkEnd w:id="52"/>
      <w:bookmarkEnd w:id="53"/>
      <w:bookmarkEnd w:id="54"/>
      <w:bookmarkEnd w:id="55"/>
      <w:r>
        <w:rPr>
          <w:rFonts w:hint="eastAsia" w:ascii="黑体" w:hAnsi="黑体" w:eastAsia="黑体" w:cs="黑体"/>
          <w:sz w:val="32"/>
          <w:szCs w:val="32"/>
          <w:lang w:eastAsia="zh-CN"/>
        </w:rPr>
        <w:t>公开表</w:t>
      </w:r>
    </w:p>
    <w:p>
      <w:pPr>
        <w:ind w:left="1277" w:leftChars="608" w:firstLine="160" w:firstLineChars="50"/>
        <w:rPr>
          <w:rFonts w:hint="eastAsia" w:ascii="黑体" w:hAnsi="黑体" w:eastAsia="黑体" w:cs="黑体"/>
          <w:sz w:val="32"/>
          <w:szCs w:val="32"/>
          <w:lang w:eastAsia="zh-CN"/>
        </w:rPr>
      </w:pPr>
      <w:r>
        <w:rPr>
          <w:rFonts w:hint="eastAsia" w:ascii="黑体" w:hAnsi="黑体" w:eastAsia="黑体" w:cs="黑体"/>
          <w:sz w:val="32"/>
          <w:szCs w:val="32"/>
          <w:lang w:eastAsia="zh-CN"/>
        </w:rPr>
        <w:t>（见正文附件）。</w:t>
      </w:r>
    </w:p>
    <w:p>
      <w:pPr>
        <w:ind w:left="1118" w:leftChars="304" w:hanging="480" w:hangingChars="150"/>
        <w:rPr>
          <w:rFonts w:hint="eastAsia" w:ascii="黑体" w:hAnsi="黑体" w:eastAsia="黑体" w:cs="黑体"/>
          <w:sz w:val="32"/>
          <w:szCs w:val="32"/>
        </w:rPr>
      </w:pPr>
      <w:r>
        <w:rPr>
          <w:rFonts w:hint="eastAsia" w:ascii="黑体" w:hAnsi="黑体" w:eastAsia="黑体" w:cs="黑体"/>
          <w:sz w:val="32"/>
          <w:szCs w:val="32"/>
          <w:lang w:val="en-US" w:eastAsia="zh-CN"/>
        </w:rPr>
        <w:t>八、</w:t>
      </w:r>
      <w:r>
        <w:rPr>
          <w:rFonts w:hint="eastAsia" w:ascii="黑体" w:hAnsi="黑体" w:eastAsia="黑体" w:cs="黑体"/>
          <w:sz w:val="32"/>
          <w:szCs w:val="32"/>
          <w:lang w:eastAsia="zh-CN"/>
        </w:rPr>
        <w:t>国有资本经营</w:t>
      </w:r>
      <w:r>
        <w:rPr>
          <w:rFonts w:hint="eastAsia" w:ascii="黑体" w:hAnsi="黑体" w:eastAsia="黑体" w:cs="黑体"/>
          <w:sz w:val="32"/>
          <w:szCs w:val="32"/>
        </w:rPr>
        <w:t>预算财政拨款收入支出决算</w:t>
      </w:r>
      <w:r>
        <w:rPr>
          <w:rFonts w:hint="eastAsia" w:ascii="黑体" w:hAnsi="黑体" w:eastAsia="黑体" w:cs="黑体"/>
          <w:sz w:val="32"/>
          <w:szCs w:val="32"/>
          <w:lang w:eastAsia="zh-CN"/>
        </w:rPr>
        <w:t>公开表</w:t>
      </w:r>
    </w:p>
    <w:p>
      <w:pPr>
        <w:ind w:left="1277" w:leftChars="608" w:firstLine="160" w:firstLineChars="50"/>
        <w:rPr>
          <w:rFonts w:hint="eastAsia" w:ascii="黑体" w:hAnsi="黑体" w:eastAsia="黑体" w:cs="黑体"/>
          <w:sz w:val="32"/>
          <w:szCs w:val="32"/>
          <w:lang w:eastAsia="zh-CN"/>
        </w:rPr>
      </w:pPr>
      <w:r>
        <w:rPr>
          <w:rFonts w:hint="eastAsia" w:ascii="黑体" w:hAnsi="黑体" w:eastAsia="黑体" w:cs="黑体"/>
          <w:sz w:val="32"/>
          <w:szCs w:val="32"/>
          <w:lang w:eastAsia="zh-CN"/>
        </w:rPr>
        <w:t>（见正文附件）。</w:t>
      </w:r>
    </w:p>
    <w:p>
      <w:pPr>
        <w:numPr>
          <w:ilvl w:val="0"/>
          <w:numId w:val="0"/>
        </w:numPr>
        <w:rPr>
          <w:rFonts w:hint="eastAsia" w:ascii="黑体" w:hAnsi="黑体" w:eastAsia="黑体" w:cs="黑体"/>
          <w:sz w:val="32"/>
          <w:szCs w:val="32"/>
        </w:rPr>
      </w:pPr>
      <w:bookmarkStart w:id="56" w:name="_Toc19961_WPSOffice_Level2"/>
      <w:bookmarkStart w:id="57" w:name="_Toc1820_WPSOffice_Level2"/>
      <w:bookmarkStart w:id="58" w:name="_Toc29886_WPSOffice_Level2"/>
      <w:bookmarkStart w:id="59" w:name="_Toc9377_WPSOffice_Level2"/>
      <w:r>
        <w:rPr>
          <w:rFonts w:hint="eastAsia" w:ascii="黑体" w:hAnsi="黑体" w:eastAsia="黑体" w:cs="黑体"/>
          <w:sz w:val="32"/>
          <w:szCs w:val="32"/>
          <w:lang w:val="en-US" w:eastAsia="zh-CN"/>
        </w:rPr>
        <w:t xml:space="preserve">    九、</w:t>
      </w:r>
      <w:r>
        <w:rPr>
          <w:rFonts w:hint="eastAsia" w:ascii="黑体" w:hAnsi="黑体" w:eastAsia="黑体" w:cs="黑体"/>
          <w:sz w:val="32"/>
          <w:szCs w:val="32"/>
        </w:rPr>
        <w:t>一般公共预算财政拨款“三公”经费支出决算</w:t>
      </w:r>
    </w:p>
    <w:p>
      <w:pPr>
        <w:numPr>
          <w:ilvl w:val="0"/>
          <w:numId w:val="0"/>
        </w:numPr>
        <w:ind w:firstLine="0" w:firstLineChars="0"/>
        <w:rPr>
          <w:rFonts w:hint="eastAsia" w:ascii="黑体" w:hAnsi="黑体" w:eastAsia="黑体" w:cs="黑体"/>
          <w:sz w:val="32"/>
          <w:szCs w:val="32"/>
          <w:lang w:eastAsia="zh-CN"/>
        </w:rPr>
      </w:pPr>
      <w:r>
        <w:rPr>
          <w:rFonts w:hint="eastAsia" w:ascii="黑体" w:hAnsi="黑体" w:eastAsia="黑体" w:cs="黑体"/>
          <w:sz w:val="32"/>
          <w:szCs w:val="32"/>
          <w:lang w:val="en-US" w:eastAsia="zh-CN"/>
        </w:rPr>
        <w:t xml:space="preserve">         </w:t>
      </w:r>
      <w:bookmarkEnd w:id="56"/>
      <w:bookmarkEnd w:id="57"/>
      <w:bookmarkEnd w:id="58"/>
      <w:bookmarkEnd w:id="59"/>
      <w:r>
        <w:rPr>
          <w:rFonts w:hint="eastAsia" w:ascii="黑体" w:hAnsi="黑体" w:eastAsia="黑体" w:cs="黑体"/>
          <w:sz w:val="32"/>
          <w:szCs w:val="32"/>
          <w:lang w:val="en-US" w:eastAsia="zh-CN"/>
        </w:rPr>
        <w:t>公开表</w:t>
      </w:r>
      <w:r>
        <w:rPr>
          <w:rFonts w:hint="eastAsia" w:ascii="黑体" w:hAnsi="黑体" w:eastAsia="黑体" w:cs="黑体"/>
          <w:sz w:val="32"/>
          <w:szCs w:val="32"/>
          <w:lang w:eastAsia="zh-CN"/>
        </w:rPr>
        <w:t>（见正文附件）。</w:t>
      </w:r>
    </w:p>
    <w:p>
      <w:pPr>
        <w:numPr>
          <w:ilvl w:val="0"/>
          <w:numId w:val="0"/>
        </w:numPr>
        <w:rPr>
          <w:rFonts w:hint="eastAsia" w:ascii="黑体" w:hAnsi="黑体" w:eastAsia="黑体" w:cs="黑体"/>
          <w:w w:val="96"/>
          <w:sz w:val="32"/>
          <w:szCs w:val="32"/>
        </w:rPr>
      </w:pPr>
      <w:r>
        <w:rPr>
          <w:rFonts w:hint="eastAsia" w:ascii="黑体" w:hAnsi="黑体" w:eastAsia="黑体" w:cs="黑体"/>
          <w:w w:val="96"/>
          <w:sz w:val="32"/>
          <w:szCs w:val="32"/>
          <w:lang w:val="en-US" w:eastAsia="zh-CN"/>
        </w:rPr>
        <w:t xml:space="preserve">    十、</w:t>
      </w:r>
      <w:r>
        <w:rPr>
          <w:rFonts w:hint="eastAsia" w:ascii="黑体" w:hAnsi="黑体" w:eastAsia="黑体" w:cs="黑体"/>
          <w:w w:val="96"/>
          <w:sz w:val="32"/>
          <w:szCs w:val="32"/>
          <w:lang w:eastAsia="zh-CN"/>
        </w:rPr>
        <w:t>政府性基金</w:t>
      </w:r>
      <w:r>
        <w:rPr>
          <w:rFonts w:hint="eastAsia" w:ascii="黑体" w:hAnsi="黑体" w:eastAsia="黑体" w:cs="黑体"/>
          <w:w w:val="96"/>
          <w:sz w:val="32"/>
          <w:szCs w:val="32"/>
        </w:rPr>
        <w:t>预算财政拨款“三公”经费支出决算</w:t>
      </w:r>
    </w:p>
    <w:p>
      <w:pPr>
        <w:numPr>
          <w:ilvl w:val="0"/>
          <w:numId w:val="0"/>
        </w:numPr>
        <w:ind w:firstLine="0" w:firstLineChars="0"/>
        <w:rPr>
          <w:rFonts w:hint="eastAsia" w:ascii="黑体" w:hAnsi="黑体" w:eastAsia="黑体" w:cs="黑体"/>
          <w:sz w:val="32"/>
          <w:szCs w:val="32"/>
          <w:lang w:eastAsia="zh-CN"/>
        </w:rPr>
      </w:pPr>
      <w:r>
        <w:rPr>
          <w:rFonts w:hint="eastAsia" w:ascii="黑体" w:hAnsi="黑体" w:eastAsia="黑体" w:cs="黑体"/>
          <w:w w:val="96"/>
          <w:sz w:val="32"/>
          <w:szCs w:val="32"/>
          <w:lang w:val="en-US" w:eastAsia="zh-CN"/>
        </w:rPr>
        <w:t xml:space="preserve">          </w:t>
      </w:r>
      <w:r>
        <w:rPr>
          <w:rFonts w:hint="eastAsia" w:ascii="黑体" w:hAnsi="黑体" w:eastAsia="黑体" w:cs="黑体"/>
          <w:w w:val="96"/>
          <w:sz w:val="32"/>
          <w:szCs w:val="32"/>
          <w:lang w:eastAsia="zh-CN"/>
        </w:rPr>
        <w:t>公开表</w:t>
      </w:r>
      <w:r>
        <w:rPr>
          <w:rFonts w:hint="eastAsia" w:ascii="黑体" w:hAnsi="黑体" w:eastAsia="黑体" w:cs="黑体"/>
          <w:sz w:val="32"/>
          <w:szCs w:val="32"/>
          <w:lang w:eastAsia="zh-CN"/>
        </w:rPr>
        <w:t>（见正文附件）。</w:t>
      </w:r>
    </w:p>
    <w:p>
      <w:pPr>
        <w:numPr>
          <w:ilvl w:val="0"/>
          <w:numId w:val="0"/>
        </w:numPr>
        <w:rPr>
          <w:rFonts w:hint="eastAsia" w:ascii="黑体" w:hAnsi="黑体" w:eastAsia="黑体" w:cs="黑体"/>
          <w:w w:val="96"/>
          <w:sz w:val="32"/>
          <w:szCs w:val="32"/>
        </w:rPr>
      </w:pPr>
      <w:r>
        <w:rPr>
          <w:rFonts w:hint="eastAsia" w:ascii="黑体" w:hAnsi="黑体" w:eastAsia="黑体" w:cs="黑体"/>
          <w:w w:val="96"/>
          <w:sz w:val="32"/>
          <w:szCs w:val="32"/>
          <w:lang w:val="en-US" w:eastAsia="zh-CN"/>
        </w:rPr>
        <w:t xml:space="preserve">    十一、</w:t>
      </w:r>
      <w:r>
        <w:rPr>
          <w:rFonts w:hint="eastAsia" w:ascii="黑体" w:hAnsi="黑体" w:eastAsia="黑体" w:cs="黑体"/>
          <w:w w:val="96"/>
          <w:sz w:val="32"/>
          <w:szCs w:val="32"/>
          <w:lang w:eastAsia="zh-CN"/>
        </w:rPr>
        <w:t>国有资本经营</w:t>
      </w:r>
      <w:r>
        <w:rPr>
          <w:rFonts w:hint="eastAsia" w:ascii="黑体" w:hAnsi="黑体" w:eastAsia="黑体" w:cs="黑体"/>
          <w:w w:val="96"/>
          <w:sz w:val="32"/>
          <w:szCs w:val="32"/>
        </w:rPr>
        <w:t>预算财政拨款“三公”经费支出决算</w:t>
      </w:r>
    </w:p>
    <w:p>
      <w:pPr>
        <w:numPr>
          <w:ilvl w:val="0"/>
          <w:numId w:val="0"/>
        </w:numPr>
        <w:ind w:firstLine="0" w:firstLineChars="0"/>
        <w:rPr>
          <w:rFonts w:hint="eastAsia" w:ascii="黑体" w:hAnsi="黑体" w:eastAsia="黑体" w:cs="黑体"/>
          <w:sz w:val="32"/>
          <w:szCs w:val="32"/>
          <w:lang w:eastAsia="zh-CN"/>
        </w:rPr>
      </w:pPr>
      <w:r>
        <w:rPr>
          <w:rFonts w:hint="eastAsia" w:ascii="黑体" w:hAnsi="黑体" w:eastAsia="黑体" w:cs="黑体"/>
          <w:w w:val="96"/>
          <w:sz w:val="32"/>
          <w:szCs w:val="32"/>
          <w:lang w:val="en-US" w:eastAsia="zh-CN"/>
        </w:rPr>
        <w:t xml:space="preserve">          </w:t>
      </w:r>
      <w:r>
        <w:rPr>
          <w:rFonts w:hint="eastAsia" w:ascii="黑体" w:hAnsi="黑体" w:eastAsia="黑体" w:cs="黑体"/>
          <w:w w:val="96"/>
          <w:sz w:val="32"/>
          <w:szCs w:val="32"/>
          <w:lang w:eastAsia="zh-CN"/>
        </w:rPr>
        <w:t>公开表</w:t>
      </w:r>
      <w:r>
        <w:rPr>
          <w:rFonts w:hint="eastAsia" w:ascii="黑体" w:hAnsi="黑体" w:eastAsia="黑体" w:cs="黑体"/>
          <w:sz w:val="32"/>
          <w:szCs w:val="32"/>
          <w:lang w:eastAsia="zh-CN"/>
        </w:rPr>
        <w:t>（见正文附件）。</w:t>
      </w:r>
    </w:p>
    <w:p>
      <w:pPr>
        <w:numPr>
          <w:ilvl w:val="0"/>
          <w:numId w:val="0"/>
        </w:numPr>
        <w:ind w:firstLine="0" w:firstLineChars="0"/>
        <w:rPr>
          <w:rFonts w:hint="eastAsia" w:ascii="黑体" w:hAnsi="黑体" w:eastAsia="黑体" w:cs="黑体"/>
          <w:sz w:val="32"/>
          <w:szCs w:val="32"/>
          <w:lang w:eastAsia="zh-CN"/>
        </w:rPr>
      </w:pPr>
    </w:p>
    <w:p>
      <w:pPr>
        <w:jc w:val="center"/>
        <w:rPr>
          <w:rFonts w:hint="eastAsia" w:ascii="黑体" w:hAnsi="ˎ̥" w:eastAsia="黑体"/>
          <w:sz w:val="32"/>
          <w:szCs w:val="32"/>
        </w:rPr>
      </w:pPr>
      <w:bookmarkStart w:id="60" w:name="_Toc29683_WPSOffice_Level1"/>
      <w:bookmarkStart w:id="61" w:name="_Toc16686_WPSOffice_Level1"/>
      <w:bookmarkStart w:id="62" w:name="_Toc28629_WPSOffice_Level1"/>
      <w:bookmarkStart w:id="63" w:name="_Toc4402_WPSOffice_Level1"/>
      <w:bookmarkStart w:id="64" w:name="_Toc31264_WPSOffice_Level1"/>
      <w:bookmarkStart w:id="65" w:name="_Toc27590_WPSOffice_Level1"/>
      <w:r>
        <w:rPr>
          <w:rFonts w:hint="eastAsia" w:ascii="黑体" w:hAnsi="ˎ̥" w:eastAsia="黑体"/>
          <w:b w:val="0"/>
          <w:bCs w:val="0"/>
          <w:sz w:val="32"/>
          <w:szCs w:val="32"/>
          <w:lang w:eastAsia="zh-CN"/>
        </w:rPr>
        <w:t>第三部分</w:t>
      </w:r>
      <w:r>
        <w:rPr>
          <w:rFonts w:hint="eastAsia" w:ascii="黑体" w:hAnsi="ˎ̥" w:eastAsia="黑体"/>
          <w:b w:val="0"/>
          <w:bCs w:val="0"/>
          <w:sz w:val="32"/>
          <w:szCs w:val="32"/>
          <w:lang w:val="en-US" w:eastAsia="zh-CN"/>
        </w:rPr>
        <w:t xml:space="preserve">  万宁市人民检察院</w:t>
      </w:r>
      <w:r>
        <w:rPr>
          <w:rFonts w:hint="eastAsia" w:ascii="黑体" w:hAnsi="ˎ̥" w:eastAsia="黑体"/>
          <w:b w:val="0"/>
          <w:bCs w:val="0"/>
          <w:sz w:val="32"/>
          <w:szCs w:val="32"/>
          <w:lang w:eastAsia="zh-CN"/>
        </w:rPr>
        <w:t>2020年度</w:t>
      </w:r>
      <w:r>
        <w:rPr>
          <w:rFonts w:hint="eastAsia" w:ascii="黑体" w:hAnsi="ˎ̥" w:eastAsia="黑体"/>
          <w:b w:val="0"/>
          <w:bCs w:val="0"/>
          <w:sz w:val="32"/>
          <w:szCs w:val="32"/>
        </w:rPr>
        <w:t>部门决算情况说明</w:t>
      </w:r>
      <w:bookmarkEnd w:id="60"/>
      <w:bookmarkEnd w:id="61"/>
      <w:bookmarkEnd w:id="62"/>
      <w:bookmarkEnd w:id="63"/>
      <w:bookmarkEnd w:id="64"/>
      <w:bookmarkEnd w:id="65"/>
    </w:p>
    <w:p>
      <w:pPr>
        <w:numPr>
          <w:ilvl w:val="0"/>
          <w:numId w:val="4"/>
        </w:numPr>
        <w:ind w:firstLine="640" w:firstLineChars="200"/>
        <w:rPr>
          <w:rFonts w:hint="eastAsia" w:ascii="仿宋_GB2312" w:hAnsi="ˎ̥" w:eastAsia="仿宋_GB2312"/>
          <w:sz w:val="32"/>
          <w:szCs w:val="32"/>
          <w:lang w:val="en-US" w:eastAsia="zh-CN"/>
        </w:rPr>
      </w:pPr>
      <w:r>
        <w:rPr>
          <w:rFonts w:hint="eastAsia" w:ascii="黑体" w:hAnsi="黑体" w:eastAsia="黑体" w:cs="黑体"/>
          <w:b w:val="0"/>
          <w:bCs/>
          <w:sz w:val="32"/>
          <w:szCs w:val="32"/>
        </w:rPr>
        <w:t>收入支出决算总体情况说明</w:t>
      </w:r>
      <w:r>
        <w:rPr>
          <w:rFonts w:hint="eastAsia" w:ascii="黑体" w:hAnsi="黑体" w:eastAsia="黑体" w:cs="黑体"/>
          <w:b w:val="0"/>
          <w:bCs/>
          <w:sz w:val="32"/>
          <w:szCs w:val="32"/>
        </w:rPr>
        <w:br w:type="textWrapping"/>
      </w:r>
      <w:r>
        <w:rPr>
          <w:rFonts w:hint="eastAsia" w:ascii="楷体_GB2312" w:hAnsi="ˎ̥" w:eastAsia="楷体_GB2312"/>
          <w:sz w:val="32"/>
          <w:szCs w:val="32"/>
        </w:rPr>
        <w:t xml:space="preserve">    </w:t>
      </w:r>
      <w:r>
        <w:rPr>
          <w:rFonts w:hint="eastAsia" w:ascii="仿宋_GB2312" w:hAnsi="ˎ̥" w:eastAsia="仿宋_GB2312"/>
          <w:sz w:val="32"/>
          <w:szCs w:val="32"/>
          <w:lang w:eastAsia="zh-CN"/>
        </w:rPr>
        <w:t>2020年度</w:t>
      </w:r>
      <w:r>
        <w:rPr>
          <w:rFonts w:hint="eastAsia" w:ascii="仿宋_GB2312" w:hAnsi="ˎ̥" w:eastAsia="仿宋_GB2312"/>
          <w:sz w:val="32"/>
          <w:szCs w:val="32"/>
          <w:lang w:val="en-US" w:eastAsia="zh-CN"/>
        </w:rPr>
        <w:t>收、支总计2772.07</w:t>
      </w:r>
      <w:r>
        <w:rPr>
          <w:rFonts w:hint="eastAsia" w:ascii="仿宋_GB2312" w:hAnsi="ˎ̥" w:eastAsia="仿宋_GB2312"/>
          <w:sz w:val="32"/>
          <w:szCs w:val="32"/>
        </w:rPr>
        <w:t>万元，与</w:t>
      </w:r>
      <w:r>
        <w:rPr>
          <w:rFonts w:hint="eastAsia" w:ascii="仿宋_GB2312" w:hAnsi="ˎ̥" w:eastAsia="仿宋_GB2312"/>
          <w:sz w:val="32"/>
          <w:szCs w:val="32"/>
          <w:lang w:eastAsia="zh-CN"/>
        </w:rPr>
        <w:t>2019年度</w:t>
      </w:r>
      <w:r>
        <w:rPr>
          <w:rFonts w:hint="eastAsia" w:ascii="仿宋_GB2312" w:hAnsi="ˎ̥" w:eastAsia="仿宋_GB2312"/>
          <w:sz w:val="32"/>
          <w:szCs w:val="32"/>
        </w:rPr>
        <w:t>相比，</w:t>
      </w:r>
      <w:r>
        <w:rPr>
          <w:rFonts w:hint="eastAsia" w:ascii="仿宋_GB2312" w:hAnsi="ˎ̥" w:eastAsia="仿宋_GB2312"/>
          <w:sz w:val="32"/>
          <w:szCs w:val="32"/>
          <w:lang w:val="en-US" w:eastAsia="zh-CN"/>
        </w:rPr>
        <w:t>收入、支出总计各</w:t>
      </w:r>
      <w:r>
        <w:rPr>
          <w:rFonts w:hint="eastAsia" w:ascii="仿宋_GB2312" w:hAnsi="ˎ̥" w:eastAsia="仿宋_GB2312"/>
          <w:sz w:val="32"/>
          <w:szCs w:val="32"/>
        </w:rPr>
        <w:t>减少</w:t>
      </w:r>
      <w:r>
        <w:rPr>
          <w:rFonts w:hint="eastAsia" w:ascii="仿宋_GB2312" w:hAnsi="ˎ̥" w:eastAsia="仿宋_GB2312"/>
          <w:sz w:val="32"/>
          <w:szCs w:val="32"/>
          <w:lang w:val="en-US" w:eastAsia="zh-CN"/>
        </w:rPr>
        <w:t>398.91</w:t>
      </w:r>
      <w:r>
        <w:rPr>
          <w:rFonts w:hint="eastAsia" w:ascii="仿宋_GB2312" w:hAnsi="ˎ̥" w:eastAsia="仿宋_GB2312"/>
          <w:sz w:val="32"/>
          <w:szCs w:val="32"/>
        </w:rPr>
        <w:t>万元，下降</w:t>
      </w:r>
      <w:r>
        <w:rPr>
          <w:rFonts w:hint="eastAsia" w:ascii="仿宋_GB2312" w:hAnsi="ˎ̥" w:eastAsia="仿宋_GB2312"/>
          <w:sz w:val="32"/>
          <w:szCs w:val="32"/>
          <w:lang w:val="en-US" w:eastAsia="zh-CN"/>
        </w:rPr>
        <w:t>12.58</w:t>
      </w:r>
      <w:r>
        <w:rPr>
          <w:rFonts w:hint="eastAsia" w:ascii="仿宋_GB2312" w:hAnsi="ˎ̥" w:eastAsia="仿宋_GB2312"/>
          <w:sz w:val="32"/>
          <w:szCs w:val="32"/>
        </w:rPr>
        <w:t>%。主要原因：一是</w:t>
      </w:r>
      <w:r>
        <w:rPr>
          <w:rFonts w:hint="eastAsia" w:ascii="仿宋_GB2312" w:hAnsi="ˎ̥" w:eastAsia="仿宋_GB2312"/>
          <w:sz w:val="32"/>
          <w:szCs w:val="32"/>
          <w:lang w:eastAsia="zh-CN"/>
        </w:rPr>
        <w:t>政策性比上年度压减预算，预算收入、支出减少</w:t>
      </w:r>
      <w:r>
        <w:rPr>
          <w:rFonts w:hint="eastAsia" w:ascii="仿宋_GB2312" w:hAnsi="ˎ̥" w:eastAsia="仿宋_GB2312"/>
          <w:sz w:val="32"/>
          <w:szCs w:val="32"/>
        </w:rPr>
        <w:t>；二是</w:t>
      </w:r>
      <w:r>
        <w:rPr>
          <w:rFonts w:hint="eastAsia" w:ascii="仿宋_GB2312" w:hAnsi="ˎ̥" w:eastAsia="仿宋_GB2312"/>
          <w:sz w:val="32"/>
          <w:szCs w:val="32"/>
          <w:lang w:eastAsia="zh-CN"/>
        </w:rPr>
        <w:t>人员因退休、离职等减少，收入、支出相应减少</w:t>
      </w:r>
      <w:r>
        <w:rPr>
          <w:rFonts w:hint="eastAsia" w:ascii="仿宋_GB2312" w:hAnsi="ˎ̥" w:eastAsia="仿宋_GB2312"/>
          <w:sz w:val="32"/>
          <w:szCs w:val="32"/>
        </w:rPr>
        <w:t>。</w:t>
      </w:r>
      <w:r>
        <w:rPr>
          <w:rFonts w:hint="eastAsia" w:ascii="仿宋_GB2312" w:hAnsi="ˎ̥" w:eastAsia="仿宋_GB2312"/>
          <w:sz w:val="32"/>
          <w:szCs w:val="32"/>
          <w:lang w:eastAsia="zh-CN"/>
        </w:rPr>
        <w:t>年初结转结余</w:t>
      </w:r>
      <w:r>
        <w:rPr>
          <w:rFonts w:hint="eastAsia" w:ascii="仿宋_GB2312" w:hAnsi="ˎ̥" w:eastAsia="仿宋_GB2312"/>
          <w:sz w:val="32"/>
          <w:szCs w:val="32"/>
          <w:lang w:val="en-US" w:eastAsia="zh-CN"/>
        </w:rPr>
        <w:t>330.31</w:t>
      </w:r>
      <w:r>
        <w:rPr>
          <w:rFonts w:hint="eastAsia" w:ascii="仿宋_GB2312" w:hAnsi="ˎ̥" w:eastAsia="仿宋_GB2312"/>
          <w:sz w:val="32"/>
          <w:szCs w:val="32"/>
        </w:rPr>
        <w:t>万元</w:t>
      </w:r>
      <w:r>
        <w:rPr>
          <w:rFonts w:hint="eastAsia" w:ascii="仿宋_GB2312" w:hAnsi="ˎ̥" w:eastAsia="仿宋_GB2312"/>
          <w:sz w:val="32"/>
          <w:szCs w:val="32"/>
          <w:lang w:eastAsia="zh-CN"/>
        </w:rPr>
        <w:t>，主要是</w:t>
      </w:r>
      <w:r>
        <w:rPr>
          <w:rFonts w:hint="eastAsia" w:ascii="仿宋_GB2312" w:hAnsi="仿宋_GB2312" w:eastAsia="仿宋_GB2312" w:cs="仿宋_GB2312"/>
          <w:color w:val="000000"/>
          <w:sz w:val="32"/>
          <w:szCs w:val="32"/>
          <w:lang w:eastAsia="zh-CN"/>
        </w:rPr>
        <w:t>司法体制改革业务装备费</w:t>
      </w:r>
      <w:r>
        <w:rPr>
          <w:rFonts w:hint="eastAsia" w:ascii="仿宋_GB2312" w:hAnsi="仿宋_GB2312" w:eastAsia="仿宋_GB2312" w:cs="仿宋_GB2312"/>
          <w:sz w:val="32"/>
          <w:szCs w:val="32"/>
        </w:rPr>
        <w:t>及</w:t>
      </w:r>
      <w:r>
        <w:rPr>
          <w:rFonts w:hint="eastAsia" w:ascii="仿宋_GB2312" w:hAnsi="仿宋_GB2312" w:eastAsia="仿宋_GB2312" w:cs="仿宋_GB2312"/>
          <w:sz w:val="32"/>
          <w:szCs w:val="32"/>
          <w:lang w:eastAsia="zh-CN"/>
        </w:rPr>
        <w:t>以前</w:t>
      </w:r>
      <w:r>
        <w:rPr>
          <w:rFonts w:hint="eastAsia" w:ascii="仿宋_GB2312" w:hAnsi="仿宋_GB2312" w:eastAsia="仿宋_GB2312" w:cs="仿宋_GB2312"/>
          <w:sz w:val="32"/>
          <w:szCs w:val="32"/>
        </w:rPr>
        <w:t>年度</w:t>
      </w:r>
      <w:r>
        <w:rPr>
          <w:rFonts w:hint="eastAsia" w:ascii="仿宋_GB2312" w:hAnsi="仿宋_GB2312" w:eastAsia="仿宋_GB2312" w:cs="仿宋_GB2312"/>
          <w:sz w:val="32"/>
          <w:szCs w:val="32"/>
          <w:lang w:eastAsia="zh-CN"/>
        </w:rPr>
        <w:t>存量</w:t>
      </w:r>
      <w:r>
        <w:rPr>
          <w:rFonts w:hint="eastAsia" w:ascii="仿宋_GB2312" w:hAnsi="仿宋_GB2312" w:eastAsia="仿宋_GB2312" w:cs="仿宋_GB2312"/>
          <w:sz w:val="32"/>
          <w:szCs w:val="32"/>
        </w:rPr>
        <w:t>资金的结转结余</w:t>
      </w:r>
      <w:r>
        <w:rPr>
          <w:rFonts w:hint="eastAsia" w:ascii="仿宋_GB2312" w:hAnsi="ˎ̥" w:eastAsia="仿宋_GB2312"/>
          <w:sz w:val="32"/>
          <w:szCs w:val="32"/>
          <w:lang w:eastAsia="zh-CN"/>
        </w:rPr>
        <w:t>，较</w:t>
      </w:r>
      <w:r>
        <w:rPr>
          <w:rFonts w:hint="eastAsia" w:ascii="仿宋_GB2312" w:hAnsi="ˎ̥" w:eastAsia="仿宋_GB2312"/>
          <w:sz w:val="32"/>
          <w:szCs w:val="32"/>
          <w:lang w:val="en-US" w:eastAsia="zh-CN"/>
        </w:rPr>
        <w:t>2019年度决算数减少27.22</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下降</w:t>
      </w:r>
      <w:r>
        <w:rPr>
          <w:rFonts w:hint="eastAsia" w:ascii="仿宋_GB2312" w:hAnsi="ˎ̥" w:eastAsia="仿宋_GB2312"/>
          <w:sz w:val="32"/>
          <w:szCs w:val="32"/>
          <w:lang w:val="en-US" w:eastAsia="zh-CN"/>
        </w:rPr>
        <w:t>7.61</w:t>
      </w:r>
      <w:r>
        <w:rPr>
          <w:rFonts w:hint="eastAsia" w:ascii="仿宋_GB2312" w:hAnsi="ˎ̥" w:eastAsia="仿宋_GB2312"/>
          <w:sz w:val="32"/>
          <w:szCs w:val="32"/>
        </w:rPr>
        <w:t>%</w:t>
      </w:r>
      <w:r>
        <w:rPr>
          <w:rFonts w:hint="eastAsia" w:ascii="仿宋_GB2312" w:hAnsi="ˎ̥" w:eastAsia="仿宋_GB2312"/>
          <w:sz w:val="32"/>
          <w:szCs w:val="32"/>
          <w:lang w:eastAsia="zh-CN"/>
        </w:rPr>
        <w:t>，主要原因是</w:t>
      </w:r>
      <w:r>
        <w:rPr>
          <w:rFonts w:hint="eastAsia" w:ascii="仿宋_GB2312" w:hAnsi="仿宋_GB2312" w:eastAsia="仿宋_GB2312" w:cs="仿宋_GB2312"/>
          <w:color w:val="000000"/>
          <w:sz w:val="32"/>
          <w:szCs w:val="32"/>
          <w:lang w:eastAsia="zh-CN"/>
        </w:rPr>
        <w:t>清理了部分往来装备挂账款</w:t>
      </w:r>
      <w:r>
        <w:rPr>
          <w:rFonts w:hint="eastAsia" w:ascii="仿宋_GB2312" w:hAnsi="仿宋_GB2312" w:eastAsia="仿宋_GB2312" w:cs="仿宋_GB2312"/>
          <w:color w:val="000000"/>
          <w:sz w:val="32"/>
          <w:szCs w:val="32"/>
        </w:rPr>
        <w:t>。</w:t>
      </w:r>
      <w:r>
        <w:rPr>
          <w:rFonts w:hint="eastAsia" w:ascii="仿宋_GB2312" w:hAnsi="ˎ̥" w:eastAsia="仿宋_GB2312"/>
          <w:sz w:val="32"/>
          <w:szCs w:val="32"/>
          <w:lang w:eastAsia="zh-CN"/>
        </w:rPr>
        <w:t>结余分配</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。年末结转结余</w:t>
      </w:r>
      <w:r>
        <w:rPr>
          <w:rFonts w:hint="eastAsia" w:ascii="仿宋_GB2312" w:hAnsi="ˎ̥" w:eastAsia="仿宋_GB2312"/>
          <w:sz w:val="32"/>
          <w:szCs w:val="32"/>
          <w:lang w:val="en-US" w:eastAsia="zh-CN"/>
        </w:rPr>
        <w:t>300.75</w:t>
      </w:r>
      <w:r>
        <w:rPr>
          <w:rFonts w:hint="eastAsia" w:ascii="仿宋_GB2312" w:hAnsi="ˎ̥" w:eastAsia="仿宋_GB2312"/>
          <w:sz w:val="32"/>
          <w:szCs w:val="32"/>
        </w:rPr>
        <w:t>万元</w:t>
      </w:r>
      <w:r>
        <w:rPr>
          <w:rFonts w:hint="eastAsia" w:ascii="仿宋_GB2312" w:hAnsi="ˎ̥" w:eastAsia="仿宋_GB2312"/>
          <w:sz w:val="32"/>
          <w:szCs w:val="32"/>
          <w:lang w:eastAsia="zh-CN"/>
        </w:rPr>
        <w:t>，主要是</w:t>
      </w:r>
      <w:r>
        <w:rPr>
          <w:rFonts w:hint="eastAsia" w:ascii="仿宋_GB2312" w:hAnsi="仿宋_GB2312" w:eastAsia="仿宋_GB2312" w:cs="仿宋_GB2312"/>
          <w:color w:val="000000"/>
          <w:sz w:val="32"/>
          <w:szCs w:val="32"/>
          <w:lang w:eastAsia="zh-CN"/>
        </w:rPr>
        <w:t>司法体制改革业务装备费</w:t>
      </w:r>
      <w:r>
        <w:rPr>
          <w:rFonts w:hint="eastAsia" w:ascii="仿宋_GB2312" w:hAnsi="ˎ̥" w:eastAsia="仿宋_GB2312"/>
          <w:sz w:val="32"/>
          <w:szCs w:val="32"/>
          <w:lang w:eastAsia="zh-CN"/>
        </w:rPr>
        <w:t>，较</w:t>
      </w:r>
      <w:r>
        <w:rPr>
          <w:rFonts w:hint="eastAsia" w:ascii="仿宋_GB2312" w:hAnsi="ˎ̥" w:eastAsia="仿宋_GB2312"/>
          <w:sz w:val="32"/>
          <w:szCs w:val="32"/>
          <w:lang w:val="en-US" w:eastAsia="zh-CN"/>
        </w:rPr>
        <w:t>2019年度决算数减少29.56</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下降</w:t>
      </w:r>
      <w:r>
        <w:rPr>
          <w:rFonts w:hint="eastAsia" w:ascii="仿宋_GB2312" w:hAnsi="ˎ̥" w:eastAsia="仿宋_GB2312"/>
          <w:sz w:val="32"/>
          <w:szCs w:val="32"/>
          <w:lang w:val="en-US" w:eastAsia="zh-CN"/>
        </w:rPr>
        <w:t>8.95</w:t>
      </w:r>
      <w:r>
        <w:rPr>
          <w:rFonts w:hint="eastAsia" w:ascii="仿宋_GB2312" w:hAnsi="ˎ̥" w:eastAsia="仿宋_GB2312"/>
          <w:sz w:val="32"/>
          <w:szCs w:val="32"/>
        </w:rPr>
        <w:t>%</w:t>
      </w:r>
      <w:r>
        <w:rPr>
          <w:rFonts w:hint="eastAsia" w:ascii="仿宋_GB2312" w:hAnsi="ˎ̥" w:eastAsia="仿宋_GB2312"/>
          <w:sz w:val="32"/>
          <w:szCs w:val="32"/>
          <w:lang w:eastAsia="zh-CN"/>
        </w:rPr>
        <w:t>，主要原因是</w:t>
      </w:r>
      <w:r>
        <w:rPr>
          <w:rFonts w:hint="eastAsia" w:ascii="仿宋_GB2312" w:hAnsi="仿宋_GB2312" w:eastAsia="仿宋_GB2312" w:cs="仿宋_GB2312"/>
          <w:color w:val="000000"/>
          <w:sz w:val="32"/>
          <w:szCs w:val="32"/>
          <w:lang w:eastAsia="zh-CN"/>
        </w:rPr>
        <w:t>清理了部分往来装备挂账款</w:t>
      </w:r>
      <w:r>
        <w:rPr>
          <w:rFonts w:hint="eastAsia" w:ascii="仿宋_GB2312" w:hAnsi="仿宋_GB2312" w:eastAsia="仿宋_GB2312" w:cs="仿宋_GB2312"/>
          <w:color w:val="000000"/>
          <w:sz w:val="32"/>
          <w:szCs w:val="32"/>
        </w:rPr>
        <w:t>。</w:t>
      </w:r>
    </w:p>
    <w:p>
      <w:pPr>
        <w:numPr>
          <w:ilvl w:val="0"/>
          <w:numId w:val="0"/>
        </w:numPr>
        <w:ind w:leftChars="0" w:firstLine="640" w:firstLineChars="200"/>
        <w:rPr>
          <w:rFonts w:hint="eastAsia" w:ascii="黑体" w:hAnsi="黑体" w:eastAsia="黑体" w:cs="黑体"/>
          <w:b w:val="0"/>
          <w:bCs/>
          <w:sz w:val="32"/>
          <w:szCs w:val="32"/>
          <w:lang w:eastAsia="zh-CN"/>
        </w:rPr>
      </w:pPr>
    </w:p>
    <w:p>
      <w:pPr>
        <w:numPr>
          <w:ilvl w:val="0"/>
          <w:numId w:val="0"/>
        </w:numPr>
        <w:ind w:leftChars="0" w:firstLine="640" w:firstLineChars="200"/>
        <w:rPr>
          <w:rFonts w:hint="eastAsia" w:ascii="仿宋_GB2312" w:hAnsi="ˎ̥" w:eastAsia="仿宋_GB2312"/>
          <w:sz w:val="32"/>
          <w:szCs w:val="32"/>
          <w:lang w:val="en-US" w:eastAsia="zh-CN"/>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收入决算情况说明</w:t>
      </w:r>
      <w:r>
        <w:rPr>
          <w:rFonts w:hint="eastAsia" w:ascii="黑体" w:hAnsi="黑体" w:eastAsia="黑体" w:cs="黑体"/>
          <w:b w:val="0"/>
          <w:bCs/>
          <w:sz w:val="32"/>
          <w:szCs w:val="32"/>
        </w:rPr>
        <w:br w:type="textWrapping"/>
      </w:r>
      <w:r>
        <w:rPr>
          <w:rFonts w:hint="eastAsia" w:ascii="仿宋_GB2312" w:hAnsi="ˎ̥" w:eastAsia="仿宋_GB2312"/>
          <w:sz w:val="32"/>
          <w:szCs w:val="32"/>
        </w:rPr>
        <w:t xml:space="preserve">    本年收入合计</w:t>
      </w:r>
      <w:r>
        <w:rPr>
          <w:rFonts w:hint="eastAsia" w:ascii="仿宋_GB2312" w:hAnsi="ˎ̥" w:eastAsia="仿宋_GB2312"/>
          <w:sz w:val="32"/>
          <w:szCs w:val="32"/>
          <w:lang w:val="en-US" w:eastAsia="zh-CN"/>
        </w:rPr>
        <w:t>2441.76</w:t>
      </w:r>
      <w:r>
        <w:rPr>
          <w:rFonts w:hint="eastAsia" w:ascii="仿宋_GB2312" w:hAnsi="ˎ̥" w:eastAsia="仿宋_GB2312"/>
          <w:sz w:val="32"/>
          <w:szCs w:val="32"/>
        </w:rPr>
        <w:t>万元，其中：财政拨款收入</w:t>
      </w:r>
      <w:r>
        <w:rPr>
          <w:rFonts w:hint="eastAsia" w:ascii="仿宋_GB2312" w:hAnsi="ˎ̥" w:eastAsia="仿宋_GB2312"/>
          <w:sz w:val="32"/>
          <w:szCs w:val="32"/>
          <w:lang w:val="en-US" w:eastAsia="zh-CN"/>
        </w:rPr>
        <w:t>2384.23</w:t>
      </w:r>
      <w:r>
        <w:rPr>
          <w:rFonts w:hint="eastAsia" w:ascii="仿宋_GB2312" w:hAnsi="ˎ̥" w:eastAsia="仿宋_GB2312"/>
          <w:sz w:val="32"/>
          <w:szCs w:val="32"/>
        </w:rPr>
        <w:t>万元，占</w:t>
      </w:r>
      <w:r>
        <w:rPr>
          <w:rFonts w:hint="eastAsia" w:ascii="仿宋_GB2312" w:hAnsi="ˎ̥" w:eastAsia="仿宋_GB2312"/>
          <w:sz w:val="32"/>
          <w:szCs w:val="32"/>
          <w:lang w:val="en-US" w:eastAsia="zh-CN"/>
        </w:rPr>
        <w:t>97.64</w:t>
      </w:r>
      <w:r>
        <w:rPr>
          <w:rFonts w:hint="eastAsia" w:ascii="仿宋_GB2312" w:hAnsi="ˎ̥" w:eastAsia="仿宋_GB2312"/>
          <w:sz w:val="32"/>
          <w:szCs w:val="32"/>
        </w:rPr>
        <w:t>%；其他收入</w:t>
      </w:r>
      <w:r>
        <w:rPr>
          <w:rFonts w:hint="eastAsia" w:ascii="仿宋_GB2312" w:hAnsi="ˎ̥" w:eastAsia="仿宋_GB2312"/>
          <w:sz w:val="32"/>
          <w:szCs w:val="32"/>
          <w:lang w:val="en-US" w:eastAsia="zh-CN"/>
        </w:rPr>
        <w:t>57.54</w:t>
      </w:r>
      <w:r>
        <w:rPr>
          <w:rFonts w:hint="eastAsia" w:ascii="仿宋_GB2312" w:hAnsi="ˎ̥" w:eastAsia="仿宋_GB2312"/>
          <w:sz w:val="32"/>
          <w:szCs w:val="32"/>
        </w:rPr>
        <w:t>万元，占</w:t>
      </w:r>
      <w:r>
        <w:rPr>
          <w:rFonts w:hint="eastAsia" w:ascii="仿宋_GB2312" w:hAnsi="ˎ̥" w:eastAsia="仿宋_GB2312"/>
          <w:sz w:val="32"/>
          <w:szCs w:val="32"/>
          <w:lang w:val="en-US" w:eastAsia="zh-CN"/>
        </w:rPr>
        <w:t>2.36</w:t>
      </w:r>
      <w:r>
        <w:rPr>
          <w:rFonts w:hint="eastAsia" w:ascii="仿宋_GB2312" w:hAnsi="ˎ̥" w:eastAsia="仿宋_GB2312"/>
          <w:sz w:val="32"/>
          <w:szCs w:val="32"/>
        </w:rPr>
        <w:t>%。</w:t>
      </w:r>
    </w:p>
    <w:p>
      <w:pPr>
        <w:ind w:firstLine="627" w:firstLineChars="196"/>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支出决算情况说明</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本年支出合计</w:t>
      </w:r>
      <w:r>
        <w:rPr>
          <w:rFonts w:hint="eastAsia" w:ascii="仿宋_GB2312" w:hAnsi="ˎ̥" w:eastAsia="仿宋_GB2312"/>
          <w:sz w:val="32"/>
          <w:szCs w:val="32"/>
          <w:lang w:val="en-US" w:eastAsia="zh-CN"/>
        </w:rPr>
        <w:t>2471.32</w:t>
      </w:r>
      <w:r>
        <w:rPr>
          <w:rFonts w:hint="eastAsia" w:ascii="仿宋_GB2312" w:hAnsi="ˎ̥" w:eastAsia="仿宋_GB2312"/>
          <w:sz w:val="32"/>
          <w:szCs w:val="32"/>
        </w:rPr>
        <w:t>万元，其中：基本支出</w:t>
      </w:r>
      <w:r>
        <w:rPr>
          <w:rFonts w:hint="eastAsia" w:ascii="仿宋_GB2312" w:hAnsi="ˎ̥" w:eastAsia="仿宋_GB2312"/>
          <w:sz w:val="32"/>
          <w:szCs w:val="32"/>
          <w:lang w:val="en-US" w:eastAsia="zh-CN"/>
        </w:rPr>
        <w:t>1690.23</w:t>
      </w:r>
      <w:r>
        <w:rPr>
          <w:rFonts w:hint="eastAsia" w:ascii="仿宋_GB2312" w:hAnsi="ˎ̥" w:eastAsia="仿宋_GB2312"/>
          <w:sz w:val="32"/>
          <w:szCs w:val="32"/>
        </w:rPr>
        <w:t>万元，占</w:t>
      </w:r>
      <w:r>
        <w:rPr>
          <w:rFonts w:hint="eastAsia" w:ascii="仿宋_GB2312" w:hAnsi="ˎ̥" w:eastAsia="仿宋_GB2312"/>
          <w:sz w:val="32"/>
          <w:szCs w:val="32"/>
          <w:lang w:val="en-US" w:eastAsia="zh-CN"/>
        </w:rPr>
        <w:t>68.39</w:t>
      </w:r>
      <w:r>
        <w:rPr>
          <w:rFonts w:hint="eastAsia" w:ascii="仿宋_GB2312" w:hAnsi="ˎ̥" w:eastAsia="仿宋_GB2312"/>
          <w:sz w:val="32"/>
          <w:szCs w:val="32"/>
        </w:rPr>
        <w:t>%；项目支出</w:t>
      </w:r>
      <w:r>
        <w:rPr>
          <w:rFonts w:hint="eastAsia" w:ascii="仿宋_GB2312" w:hAnsi="ˎ̥" w:eastAsia="仿宋_GB2312"/>
          <w:sz w:val="32"/>
          <w:szCs w:val="32"/>
          <w:lang w:val="en-US" w:eastAsia="zh-CN"/>
        </w:rPr>
        <w:t>781.09</w:t>
      </w:r>
      <w:r>
        <w:rPr>
          <w:rFonts w:hint="eastAsia" w:ascii="仿宋_GB2312" w:hAnsi="ˎ̥" w:eastAsia="仿宋_GB2312"/>
          <w:sz w:val="32"/>
          <w:szCs w:val="32"/>
        </w:rPr>
        <w:t>万元，占</w:t>
      </w:r>
      <w:r>
        <w:rPr>
          <w:rFonts w:hint="eastAsia" w:ascii="仿宋_GB2312" w:hAnsi="ˎ̥" w:eastAsia="仿宋_GB2312"/>
          <w:sz w:val="32"/>
          <w:szCs w:val="32"/>
          <w:lang w:val="en-US" w:eastAsia="zh-CN"/>
        </w:rPr>
        <w:t>31.61</w:t>
      </w:r>
      <w:r>
        <w:rPr>
          <w:rFonts w:hint="eastAsia" w:ascii="仿宋_GB2312" w:hAnsi="ˎ̥" w:eastAsia="仿宋_GB2312"/>
          <w:sz w:val="32"/>
          <w:szCs w:val="32"/>
        </w:rPr>
        <w:t>%。</w:t>
      </w:r>
    </w:p>
    <w:p>
      <w:pPr>
        <w:ind w:firstLine="627" w:firstLineChars="196"/>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财政拨款收入支出决算总体情况说明</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2020年度</w:t>
      </w:r>
      <w:r>
        <w:rPr>
          <w:rFonts w:hint="eastAsia" w:ascii="仿宋_GB2312" w:hAnsi="ˎ̥" w:eastAsia="仿宋_GB2312"/>
          <w:sz w:val="32"/>
          <w:szCs w:val="32"/>
        </w:rPr>
        <w:t>财政拨款收入</w:t>
      </w:r>
      <w:r>
        <w:rPr>
          <w:rFonts w:hint="eastAsia" w:ascii="仿宋_GB2312" w:hAnsi="ˎ̥" w:eastAsia="仿宋_GB2312"/>
          <w:sz w:val="32"/>
          <w:szCs w:val="32"/>
          <w:lang w:eastAsia="zh-CN"/>
        </w:rPr>
        <w:t>、</w:t>
      </w:r>
      <w:r>
        <w:rPr>
          <w:rFonts w:hint="eastAsia" w:ascii="仿宋_GB2312" w:hAnsi="ˎ̥" w:eastAsia="仿宋_GB2312"/>
          <w:sz w:val="32"/>
          <w:szCs w:val="32"/>
          <w:lang w:val="en-US" w:eastAsia="zh-CN"/>
        </w:rPr>
        <w:t>支出总计2700.21</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与</w:t>
      </w:r>
      <w:r>
        <w:rPr>
          <w:rFonts w:hint="eastAsia" w:ascii="仿宋_GB2312" w:hAnsi="ˎ̥" w:eastAsia="仿宋_GB2312"/>
          <w:sz w:val="32"/>
          <w:szCs w:val="32"/>
          <w:lang w:eastAsia="zh-CN"/>
        </w:rPr>
        <w:t>2019年度</w:t>
      </w:r>
      <w:r>
        <w:rPr>
          <w:rFonts w:hint="eastAsia" w:ascii="仿宋_GB2312" w:hAnsi="ˎ̥" w:eastAsia="仿宋_GB2312"/>
          <w:sz w:val="32"/>
          <w:szCs w:val="32"/>
        </w:rPr>
        <w:t>相比，财政拨款收入</w:t>
      </w:r>
      <w:r>
        <w:rPr>
          <w:rFonts w:hint="eastAsia" w:ascii="仿宋_GB2312" w:hAnsi="ˎ̥" w:eastAsia="仿宋_GB2312"/>
          <w:sz w:val="32"/>
          <w:szCs w:val="32"/>
          <w:lang w:eastAsia="zh-CN"/>
        </w:rPr>
        <w:t>、</w:t>
      </w:r>
      <w:r>
        <w:rPr>
          <w:rFonts w:hint="eastAsia" w:ascii="仿宋_GB2312" w:hAnsi="ˎ̥" w:eastAsia="仿宋_GB2312"/>
          <w:sz w:val="32"/>
          <w:szCs w:val="32"/>
          <w:lang w:val="en-US" w:eastAsia="zh-CN"/>
        </w:rPr>
        <w:t>支出总计各</w:t>
      </w:r>
      <w:r>
        <w:rPr>
          <w:rFonts w:hint="eastAsia" w:ascii="仿宋_GB2312" w:hAnsi="ˎ̥" w:eastAsia="仿宋_GB2312"/>
          <w:sz w:val="32"/>
          <w:szCs w:val="32"/>
        </w:rPr>
        <w:t>减少</w:t>
      </w:r>
      <w:r>
        <w:rPr>
          <w:rFonts w:hint="eastAsia" w:ascii="仿宋_GB2312" w:hAnsi="ˎ̥" w:eastAsia="仿宋_GB2312"/>
          <w:sz w:val="32"/>
          <w:szCs w:val="32"/>
          <w:lang w:val="en-US" w:eastAsia="zh-CN"/>
        </w:rPr>
        <w:t>362.73</w:t>
      </w:r>
      <w:r>
        <w:rPr>
          <w:rFonts w:hint="eastAsia" w:ascii="仿宋_GB2312" w:hAnsi="ˎ̥" w:eastAsia="仿宋_GB2312"/>
          <w:sz w:val="32"/>
          <w:szCs w:val="32"/>
        </w:rPr>
        <w:t>万元，下降</w:t>
      </w:r>
      <w:r>
        <w:rPr>
          <w:rFonts w:hint="eastAsia" w:ascii="仿宋_GB2312" w:hAnsi="ˎ̥" w:eastAsia="仿宋_GB2312"/>
          <w:sz w:val="32"/>
          <w:szCs w:val="32"/>
          <w:lang w:val="en-US" w:eastAsia="zh-CN"/>
        </w:rPr>
        <w:t>11.84</w:t>
      </w:r>
      <w:r>
        <w:rPr>
          <w:rFonts w:hint="eastAsia" w:ascii="仿宋_GB2312" w:hAnsi="ˎ̥" w:eastAsia="仿宋_GB2312"/>
          <w:sz w:val="32"/>
          <w:szCs w:val="32"/>
        </w:rPr>
        <w:t>%。主要原因：一是</w:t>
      </w:r>
      <w:r>
        <w:rPr>
          <w:rFonts w:hint="eastAsia" w:ascii="仿宋_GB2312" w:hAnsi="ˎ̥" w:eastAsia="仿宋_GB2312"/>
          <w:sz w:val="32"/>
          <w:szCs w:val="32"/>
          <w:lang w:eastAsia="zh-CN"/>
        </w:rPr>
        <w:t>政策性压减预算，预算收入、支出减少</w:t>
      </w:r>
      <w:r>
        <w:rPr>
          <w:rFonts w:hint="eastAsia" w:ascii="仿宋_GB2312" w:hAnsi="ˎ̥" w:eastAsia="仿宋_GB2312"/>
          <w:sz w:val="32"/>
          <w:szCs w:val="32"/>
        </w:rPr>
        <w:t>；二是</w:t>
      </w:r>
      <w:r>
        <w:rPr>
          <w:rFonts w:hint="eastAsia" w:ascii="仿宋_GB2312" w:hAnsi="ˎ̥" w:eastAsia="仿宋_GB2312"/>
          <w:sz w:val="32"/>
          <w:szCs w:val="32"/>
          <w:lang w:eastAsia="zh-CN"/>
        </w:rPr>
        <w:t>人员因退休、离职等减少，收入、支出相应减少</w:t>
      </w:r>
      <w:r>
        <w:rPr>
          <w:rFonts w:hint="eastAsia" w:ascii="仿宋_GB2312" w:hAnsi="ˎ̥" w:eastAsia="仿宋_GB2312"/>
          <w:sz w:val="32"/>
          <w:szCs w:val="32"/>
        </w:rPr>
        <w:t>。</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lang w:eastAsia="zh-CN"/>
        </w:rPr>
        <w:t>财政拨款年初结转结余</w:t>
      </w:r>
      <w:r>
        <w:rPr>
          <w:rFonts w:hint="eastAsia" w:ascii="仿宋_GB2312" w:hAnsi="ˎ̥" w:eastAsia="仿宋_GB2312"/>
          <w:sz w:val="32"/>
          <w:szCs w:val="32"/>
          <w:lang w:val="en-US" w:eastAsia="zh-CN"/>
        </w:rPr>
        <w:t>315.98</w:t>
      </w:r>
      <w:r>
        <w:rPr>
          <w:rFonts w:hint="eastAsia" w:ascii="仿宋_GB2312" w:hAnsi="ˎ̥" w:eastAsia="仿宋_GB2312"/>
          <w:sz w:val="32"/>
          <w:szCs w:val="32"/>
        </w:rPr>
        <w:t>万元</w:t>
      </w:r>
      <w:r>
        <w:rPr>
          <w:rFonts w:hint="eastAsia" w:ascii="仿宋_GB2312" w:hAnsi="ˎ̥" w:eastAsia="仿宋_GB2312"/>
          <w:sz w:val="32"/>
          <w:szCs w:val="32"/>
          <w:lang w:eastAsia="zh-CN"/>
        </w:rPr>
        <w:t>，主要是</w:t>
      </w:r>
      <w:r>
        <w:rPr>
          <w:rFonts w:hint="eastAsia" w:ascii="仿宋_GB2312" w:hAnsi="仿宋_GB2312" w:eastAsia="仿宋_GB2312" w:cs="仿宋_GB2312"/>
          <w:color w:val="000000"/>
          <w:sz w:val="32"/>
          <w:szCs w:val="32"/>
          <w:lang w:eastAsia="zh-CN"/>
        </w:rPr>
        <w:t>司法体制改革业务装备费</w:t>
      </w:r>
      <w:r>
        <w:rPr>
          <w:rFonts w:hint="eastAsia" w:ascii="仿宋_GB2312" w:hAnsi="仿宋_GB2312" w:eastAsia="仿宋_GB2312" w:cs="仿宋_GB2312"/>
          <w:sz w:val="32"/>
          <w:szCs w:val="32"/>
        </w:rPr>
        <w:t>及</w:t>
      </w:r>
      <w:r>
        <w:rPr>
          <w:rFonts w:hint="eastAsia" w:ascii="仿宋_GB2312" w:hAnsi="仿宋_GB2312" w:eastAsia="仿宋_GB2312" w:cs="仿宋_GB2312"/>
          <w:sz w:val="32"/>
          <w:szCs w:val="32"/>
          <w:lang w:eastAsia="zh-CN"/>
        </w:rPr>
        <w:t>以前</w:t>
      </w:r>
      <w:r>
        <w:rPr>
          <w:rFonts w:hint="eastAsia" w:ascii="仿宋_GB2312" w:hAnsi="仿宋_GB2312" w:eastAsia="仿宋_GB2312" w:cs="仿宋_GB2312"/>
          <w:sz w:val="32"/>
          <w:szCs w:val="32"/>
        </w:rPr>
        <w:t>年度</w:t>
      </w:r>
      <w:r>
        <w:rPr>
          <w:rFonts w:hint="eastAsia" w:ascii="仿宋_GB2312" w:hAnsi="仿宋_GB2312" w:eastAsia="仿宋_GB2312" w:cs="仿宋_GB2312"/>
          <w:sz w:val="32"/>
          <w:szCs w:val="32"/>
          <w:lang w:eastAsia="zh-CN"/>
        </w:rPr>
        <w:t>存量</w:t>
      </w:r>
      <w:r>
        <w:rPr>
          <w:rFonts w:hint="eastAsia" w:ascii="仿宋_GB2312" w:hAnsi="仿宋_GB2312" w:eastAsia="仿宋_GB2312" w:cs="仿宋_GB2312"/>
          <w:sz w:val="32"/>
          <w:szCs w:val="32"/>
        </w:rPr>
        <w:t>资金的结转结余</w:t>
      </w:r>
      <w:r>
        <w:rPr>
          <w:rFonts w:hint="eastAsia" w:ascii="仿宋_GB2312" w:hAnsi="ˎ̥" w:eastAsia="仿宋_GB2312"/>
          <w:sz w:val="32"/>
          <w:szCs w:val="32"/>
          <w:lang w:eastAsia="zh-CN"/>
        </w:rPr>
        <w:t>，较</w:t>
      </w:r>
      <w:r>
        <w:rPr>
          <w:rFonts w:hint="eastAsia" w:ascii="仿宋_GB2312" w:hAnsi="ˎ̥" w:eastAsia="仿宋_GB2312"/>
          <w:sz w:val="32"/>
          <w:szCs w:val="32"/>
          <w:lang w:val="en-US" w:eastAsia="zh-CN"/>
        </w:rPr>
        <w:t>2019年度决算数增加20.92</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增长</w:t>
      </w:r>
      <w:r>
        <w:rPr>
          <w:rFonts w:hint="eastAsia" w:ascii="仿宋_GB2312" w:hAnsi="ˎ̥" w:eastAsia="仿宋_GB2312"/>
          <w:sz w:val="32"/>
          <w:szCs w:val="32"/>
          <w:lang w:val="en-US" w:eastAsia="zh-CN"/>
        </w:rPr>
        <w:t>7.09</w:t>
      </w:r>
      <w:r>
        <w:rPr>
          <w:rFonts w:hint="eastAsia" w:ascii="仿宋_GB2312" w:hAnsi="ˎ̥" w:eastAsia="仿宋_GB2312"/>
          <w:sz w:val="32"/>
          <w:szCs w:val="32"/>
        </w:rPr>
        <w:t>%</w:t>
      </w:r>
      <w:r>
        <w:rPr>
          <w:rFonts w:hint="eastAsia" w:ascii="仿宋_GB2312" w:hAnsi="ˎ̥" w:eastAsia="仿宋_GB2312"/>
          <w:sz w:val="32"/>
          <w:szCs w:val="32"/>
          <w:lang w:eastAsia="zh-CN"/>
        </w:rPr>
        <w:t>，主要原因是</w:t>
      </w:r>
      <w:r>
        <w:rPr>
          <w:rFonts w:hint="eastAsia" w:ascii="仿宋_GB2312" w:hAnsi="ˎ̥" w:eastAsia="仿宋_GB2312"/>
          <w:sz w:val="32"/>
          <w:szCs w:val="32"/>
          <w:lang w:val="en-US" w:eastAsia="zh-CN"/>
        </w:rPr>
        <w:t>2019年末有当年预算资金结转结余</w:t>
      </w:r>
      <w:r>
        <w:rPr>
          <w:rFonts w:hint="eastAsia" w:ascii="仿宋_GB2312" w:hAnsi="ˎ̥" w:eastAsia="仿宋_GB2312"/>
          <w:sz w:val="32"/>
          <w:szCs w:val="32"/>
          <w:lang w:eastAsia="zh-CN"/>
        </w:rPr>
        <w:t>。</w:t>
      </w:r>
    </w:p>
    <w:p>
      <w:pPr>
        <w:ind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lang w:eastAsia="zh-CN"/>
        </w:rPr>
        <w:t>财政拨款年末结转结余</w:t>
      </w:r>
      <w:r>
        <w:rPr>
          <w:rFonts w:hint="eastAsia" w:ascii="仿宋_GB2312" w:hAnsi="ˎ̥" w:eastAsia="仿宋_GB2312"/>
          <w:sz w:val="32"/>
          <w:szCs w:val="32"/>
          <w:lang w:val="en-US" w:eastAsia="zh-CN"/>
        </w:rPr>
        <w:t>286.59</w:t>
      </w:r>
      <w:r>
        <w:rPr>
          <w:rFonts w:hint="eastAsia" w:ascii="仿宋_GB2312" w:hAnsi="ˎ̥" w:eastAsia="仿宋_GB2312"/>
          <w:sz w:val="32"/>
          <w:szCs w:val="32"/>
        </w:rPr>
        <w:t>万元</w:t>
      </w:r>
      <w:r>
        <w:rPr>
          <w:rFonts w:hint="eastAsia" w:ascii="仿宋_GB2312" w:hAnsi="ˎ̥" w:eastAsia="仿宋_GB2312"/>
          <w:sz w:val="32"/>
          <w:szCs w:val="32"/>
          <w:lang w:eastAsia="zh-CN"/>
        </w:rPr>
        <w:t>，主要是</w:t>
      </w:r>
      <w:r>
        <w:rPr>
          <w:rFonts w:hint="eastAsia" w:ascii="仿宋_GB2312" w:hAnsi="仿宋_GB2312" w:eastAsia="仿宋_GB2312" w:cs="仿宋_GB2312"/>
          <w:color w:val="000000"/>
          <w:sz w:val="32"/>
          <w:szCs w:val="32"/>
          <w:lang w:eastAsia="zh-CN"/>
        </w:rPr>
        <w:t>司法体制改革业务装备费</w:t>
      </w:r>
      <w:r>
        <w:rPr>
          <w:rFonts w:hint="eastAsia" w:ascii="仿宋_GB2312" w:hAnsi="仿宋_GB2312" w:eastAsia="仿宋_GB2312" w:cs="仿宋_GB2312"/>
          <w:sz w:val="32"/>
          <w:szCs w:val="32"/>
        </w:rPr>
        <w:t>及</w:t>
      </w:r>
      <w:r>
        <w:rPr>
          <w:rFonts w:hint="eastAsia" w:ascii="仿宋_GB2312" w:hAnsi="仿宋_GB2312" w:eastAsia="仿宋_GB2312" w:cs="仿宋_GB2312"/>
          <w:sz w:val="32"/>
          <w:szCs w:val="32"/>
          <w:lang w:eastAsia="zh-CN"/>
        </w:rPr>
        <w:t>以前</w:t>
      </w:r>
      <w:r>
        <w:rPr>
          <w:rFonts w:hint="eastAsia" w:ascii="仿宋_GB2312" w:hAnsi="仿宋_GB2312" w:eastAsia="仿宋_GB2312" w:cs="仿宋_GB2312"/>
          <w:sz w:val="32"/>
          <w:szCs w:val="32"/>
        </w:rPr>
        <w:t>年度</w:t>
      </w:r>
      <w:r>
        <w:rPr>
          <w:rFonts w:hint="eastAsia" w:ascii="仿宋_GB2312" w:hAnsi="仿宋_GB2312" w:eastAsia="仿宋_GB2312" w:cs="仿宋_GB2312"/>
          <w:sz w:val="32"/>
          <w:szCs w:val="32"/>
          <w:lang w:eastAsia="zh-CN"/>
        </w:rPr>
        <w:t>存量</w:t>
      </w:r>
      <w:r>
        <w:rPr>
          <w:rFonts w:hint="eastAsia" w:ascii="仿宋_GB2312" w:hAnsi="仿宋_GB2312" w:eastAsia="仿宋_GB2312" w:cs="仿宋_GB2312"/>
          <w:sz w:val="32"/>
          <w:szCs w:val="32"/>
        </w:rPr>
        <w:t>资金的结转结余</w:t>
      </w:r>
      <w:r>
        <w:rPr>
          <w:rFonts w:hint="eastAsia" w:ascii="仿宋_GB2312" w:hAnsi="ˎ̥" w:eastAsia="仿宋_GB2312"/>
          <w:sz w:val="32"/>
          <w:szCs w:val="32"/>
          <w:lang w:eastAsia="zh-CN"/>
        </w:rPr>
        <w:t>，较</w:t>
      </w:r>
      <w:r>
        <w:rPr>
          <w:rFonts w:hint="eastAsia" w:ascii="仿宋_GB2312" w:hAnsi="ˎ̥" w:eastAsia="仿宋_GB2312"/>
          <w:sz w:val="32"/>
          <w:szCs w:val="32"/>
          <w:lang w:val="en-US" w:eastAsia="zh-CN"/>
        </w:rPr>
        <w:t>2019年度年末决算数减少29.39</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下降</w:t>
      </w:r>
      <w:r>
        <w:rPr>
          <w:rFonts w:hint="eastAsia" w:ascii="仿宋_GB2312" w:hAnsi="ˎ̥" w:eastAsia="仿宋_GB2312"/>
          <w:sz w:val="32"/>
          <w:szCs w:val="32"/>
          <w:lang w:val="en-US" w:eastAsia="zh-CN"/>
        </w:rPr>
        <w:t>9.3</w:t>
      </w:r>
      <w:r>
        <w:rPr>
          <w:rFonts w:hint="eastAsia" w:ascii="仿宋_GB2312" w:hAnsi="ˎ̥" w:eastAsia="仿宋_GB2312"/>
          <w:sz w:val="32"/>
          <w:szCs w:val="32"/>
        </w:rPr>
        <w:t>%</w:t>
      </w:r>
      <w:r>
        <w:rPr>
          <w:rFonts w:hint="eastAsia" w:ascii="仿宋_GB2312" w:hAnsi="ˎ̥" w:eastAsia="仿宋_GB2312"/>
          <w:sz w:val="32"/>
          <w:szCs w:val="32"/>
          <w:lang w:eastAsia="zh-CN"/>
        </w:rPr>
        <w:t>，主要原因是</w:t>
      </w:r>
      <w:r>
        <w:rPr>
          <w:rFonts w:hint="eastAsia" w:ascii="仿宋_GB2312" w:hAnsi="仿宋_GB2312" w:eastAsia="仿宋_GB2312" w:cs="仿宋_GB2312"/>
          <w:color w:val="000000"/>
          <w:sz w:val="32"/>
          <w:szCs w:val="32"/>
          <w:lang w:eastAsia="zh-CN"/>
        </w:rPr>
        <w:t>清理了部分往来装备挂账款</w:t>
      </w:r>
      <w:r>
        <w:rPr>
          <w:rFonts w:hint="eastAsia" w:ascii="仿宋_GB2312" w:hAnsi="ˎ̥" w:eastAsia="仿宋_GB2312"/>
          <w:sz w:val="32"/>
          <w:szCs w:val="32"/>
          <w:lang w:eastAsia="zh-CN"/>
        </w:rPr>
        <w:t>。</w:t>
      </w:r>
    </w:p>
    <w:p>
      <w:pPr>
        <w:ind w:firstLine="627" w:firstLineChars="196"/>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五、</w:t>
      </w:r>
      <w:r>
        <w:rPr>
          <w:rFonts w:hint="eastAsia" w:ascii="黑体" w:hAnsi="黑体" w:eastAsia="黑体" w:cs="黑体"/>
          <w:b w:val="0"/>
          <w:bCs/>
          <w:sz w:val="32"/>
          <w:szCs w:val="32"/>
        </w:rPr>
        <w:t>一般公共预算财政拨款支出决算情况说明</w:t>
      </w:r>
    </w:p>
    <w:p>
      <w:pPr>
        <w:ind w:firstLine="640" w:firstLineChars="200"/>
        <w:rPr>
          <w:rFonts w:hint="eastAsia" w:ascii="楷体" w:hAnsi="楷体" w:eastAsia="楷体" w:cs="楷体"/>
          <w:sz w:val="32"/>
          <w:szCs w:val="32"/>
          <w:lang w:eastAsia="zh-CN"/>
        </w:rPr>
      </w:pPr>
      <w:bookmarkStart w:id="66" w:name="_Toc13694_WPSOffice_Level2"/>
      <w:bookmarkStart w:id="67" w:name="_Toc17398_WPSOffice_Level2"/>
      <w:bookmarkStart w:id="68" w:name="_Toc19665_WPSOffice_Level2"/>
      <w:bookmarkStart w:id="69" w:name="_Toc23005_WPSOffice_Level2"/>
      <w:bookmarkStart w:id="70" w:name="_Toc9989_WPSOffice_Level2"/>
      <w:bookmarkStart w:id="71" w:name="_Toc21737_WPSOffice_Level2"/>
      <w:r>
        <w:rPr>
          <w:rFonts w:hint="eastAsia" w:ascii="楷体" w:hAnsi="楷体" w:eastAsia="楷体" w:cs="楷体"/>
          <w:sz w:val="32"/>
          <w:szCs w:val="32"/>
          <w:lang w:val="en-US" w:eastAsia="zh-CN"/>
        </w:rPr>
        <w:t>（一）</w:t>
      </w:r>
      <w:r>
        <w:rPr>
          <w:rFonts w:hint="eastAsia" w:ascii="楷体" w:hAnsi="楷体" w:eastAsia="楷体" w:cs="楷体"/>
          <w:sz w:val="32"/>
          <w:szCs w:val="32"/>
        </w:rPr>
        <w:t>一般公共预算财政拨款支出决算总体情况</w:t>
      </w:r>
      <w:bookmarkEnd w:id="66"/>
      <w:bookmarkEnd w:id="67"/>
      <w:r>
        <w:rPr>
          <w:rFonts w:hint="eastAsia" w:ascii="楷体" w:hAnsi="楷体" w:eastAsia="楷体" w:cs="楷体"/>
          <w:sz w:val="32"/>
          <w:szCs w:val="32"/>
          <w:lang w:eastAsia="zh-CN"/>
        </w:rPr>
        <w:t>。</w:t>
      </w:r>
      <w:bookmarkEnd w:id="68"/>
      <w:bookmarkEnd w:id="69"/>
      <w:bookmarkEnd w:id="70"/>
      <w:bookmarkEnd w:id="71"/>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2020年度</w:t>
      </w:r>
      <w:r>
        <w:rPr>
          <w:rFonts w:hint="eastAsia" w:ascii="仿宋_GB2312" w:hAnsi="ˎ̥" w:eastAsia="仿宋_GB2312"/>
          <w:sz w:val="32"/>
          <w:szCs w:val="32"/>
        </w:rPr>
        <w:t>一般公共预算财政拨款支出</w:t>
      </w:r>
      <w:r>
        <w:rPr>
          <w:rFonts w:hint="eastAsia" w:ascii="仿宋_GB2312" w:hAnsi="ˎ̥" w:eastAsia="仿宋_GB2312"/>
          <w:sz w:val="32"/>
          <w:szCs w:val="32"/>
          <w:lang w:val="en-US" w:eastAsia="zh-CN"/>
        </w:rPr>
        <w:t>2413.62</w:t>
      </w:r>
      <w:r>
        <w:rPr>
          <w:rFonts w:hint="eastAsia" w:ascii="仿宋_GB2312" w:hAnsi="ˎ̥" w:eastAsia="仿宋_GB2312"/>
          <w:sz w:val="32"/>
          <w:szCs w:val="32"/>
        </w:rPr>
        <w:t>万元，占本年支出合计的</w:t>
      </w:r>
      <w:r>
        <w:rPr>
          <w:rFonts w:hint="eastAsia" w:ascii="仿宋_GB2312" w:hAnsi="ˎ̥" w:eastAsia="仿宋_GB2312"/>
          <w:sz w:val="32"/>
          <w:szCs w:val="32"/>
          <w:lang w:val="en-US" w:eastAsia="zh-CN"/>
        </w:rPr>
        <w:t>97.67</w:t>
      </w:r>
      <w:r>
        <w:rPr>
          <w:rFonts w:hint="eastAsia" w:ascii="仿宋_GB2312" w:hAnsi="ˎ̥" w:eastAsia="仿宋_GB2312"/>
          <w:sz w:val="32"/>
          <w:szCs w:val="32"/>
        </w:rPr>
        <w:t>%。与</w:t>
      </w:r>
      <w:r>
        <w:rPr>
          <w:rFonts w:hint="eastAsia" w:ascii="仿宋_GB2312" w:hAnsi="ˎ̥" w:eastAsia="仿宋_GB2312"/>
          <w:sz w:val="32"/>
          <w:szCs w:val="32"/>
          <w:lang w:eastAsia="zh-CN"/>
        </w:rPr>
        <w:t>2019年度</w:t>
      </w:r>
      <w:r>
        <w:rPr>
          <w:rFonts w:hint="eastAsia" w:ascii="仿宋_GB2312" w:hAnsi="ˎ̥" w:eastAsia="仿宋_GB2312"/>
          <w:sz w:val="32"/>
          <w:szCs w:val="32"/>
        </w:rPr>
        <w:t>相比，</w:t>
      </w:r>
      <w:r>
        <w:rPr>
          <w:rFonts w:hint="eastAsia" w:ascii="仿宋_GB2312" w:hAnsi="ˎ̥" w:eastAsia="仿宋_GB2312"/>
          <w:sz w:val="32"/>
          <w:szCs w:val="32"/>
          <w:lang w:eastAsia="zh-CN"/>
        </w:rPr>
        <w:t>一般公共预算</w:t>
      </w:r>
      <w:r>
        <w:rPr>
          <w:rFonts w:hint="eastAsia" w:ascii="仿宋_GB2312" w:hAnsi="ˎ̥" w:eastAsia="仿宋_GB2312"/>
          <w:sz w:val="32"/>
          <w:szCs w:val="32"/>
        </w:rPr>
        <w:t>财政拨款支出减少</w:t>
      </w:r>
      <w:r>
        <w:rPr>
          <w:rFonts w:hint="eastAsia" w:ascii="仿宋_GB2312" w:hAnsi="ˎ̥" w:eastAsia="仿宋_GB2312"/>
          <w:sz w:val="32"/>
          <w:szCs w:val="32"/>
          <w:lang w:val="en-US" w:eastAsia="zh-CN"/>
        </w:rPr>
        <w:t>333.34</w:t>
      </w:r>
      <w:r>
        <w:rPr>
          <w:rFonts w:hint="eastAsia" w:ascii="仿宋_GB2312" w:hAnsi="ˎ̥" w:eastAsia="仿宋_GB2312"/>
          <w:sz w:val="32"/>
          <w:szCs w:val="32"/>
        </w:rPr>
        <w:t>万元，下降</w:t>
      </w:r>
      <w:r>
        <w:rPr>
          <w:rFonts w:hint="eastAsia" w:ascii="仿宋_GB2312" w:hAnsi="ˎ̥" w:eastAsia="仿宋_GB2312"/>
          <w:sz w:val="32"/>
          <w:szCs w:val="32"/>
          <w:lang w:val="en-US" w:eastAsia="zh-CN"/>
        </w:rPr>
        <w:t>12.13</w:t>
      </w:r>
      <w:r>
        <w:rPr>
          <w:rFonts w:hint="eastAsia" w:ascii="仿宋_GB2312" w:hAnsi="ˎ̥" w:eastAsia="仿宋_GB2312"/>
          <w:sz w:val="32"/>
          <w:szCs w:val="32"/>
        </w:rPr>
        <w:t>%</w:t>
      </w:r>
      <w:r>
        <w:rPr>
          <w:rFonts w:hint="eastAsia" w:ascii="仿宋_GB2312" w:hAnsi="ˎ̥" w:eastAsia="仿宋_GB2312"/>
          <w:sz w:val="32"/>
          <w:szCs w:val="32"/>
          <w:lang w:eastAsia="zh-CN"/>
        </w:rPr>
        <w:t>，主要原因是</w:t>
      </w:r>
      <w:r>
        <w:rPr>
          <w:rFonts w:hint="eastAsia" w:ascii="仿宋_GB2312" w:hAnsi="ˎ̥" w:eastAsia="仿宋_GB2312"/>
          <w:sz w:val="32"/>
          <w:szCs w:val="32"/>
        </w:rPr>
        <w:t>一是</w:t>
      </w:r>
      <w:r>
        <w:rPr>
          <w:rFonts w:hint="eastAsia" w:ascii="仿宋_GB2312" w:hAnsi="ˎ̥" w:eastAsia="仿宋_GB2312"/>
          <w:sz w:val="32"/>
          <w:szCs w:val="32"/>
          <w:lang w:eastAsia="zh-CN"/>
        </w:rPr>
        <w:t>政策性压减预算，预算收入、支出减少</w:t>
      </w:r>
      <w:r>
        <w:rPr>
          <w:rFonts w:hint="eastAsia" w:ascii="仿宋_GB2312" w:hAnsi="ˎ̥" w:eastAsia="仿宋_GB2312"/>
          <w:sz w:val="32"/>
          <w:szCs w:val="32"/>
        </w:rPr>
        <w:t>；二是</w:t>
      </w:r>
      <w:r>
        <w:rPr>
          <w:rFonts w:hint="eastAsia" w:ascii="仿宋_GB2312" w:hAnsi="ˎ̥" w:eastAsia="仿宋_GB2312"/>
          <w:sz w:val="32"/>
          <w:szCs w:val="32"/>
          <w:lang w:eastAsia="zh-CN"/>
        </w:rPr>
        <w:t>人员因退休、离职等减少，收入、支出相应减少</w:t>
      </w:r>
      <w:r>
        <w:rPr>
          <w:rFonts w:hint="eastAsia" w:ascii="仿宋_GB2312" w:hAnsi="ˎ̥" w:eastAsia="仿宋_GB2312"/>
          <w:sz w:val="32"/>
          <w:szCs w:val="32"/>
        </w:rPr>
        <w:t>。</w:t>
      </w:r>
    </w:p>
    <w:p>
      <w:pPr>
        <w:ind w:firstLine="640" w:firstLineChars="200"/>
        <w:rPr>
          <w:rFonts w:hint="eastAsia" w:ascii="楷体" w:hAnsi="楷体" w:eastAsia="楷体" w:cs="楷体"/>
          <w:sz w:val="32"/>
          <w:szCs w:val="32"/>
          <w:lang w:eastAsia="zh-CN"/>
        </w:rPr>
      </w:pPr>
      <w:bookmarkStart w:id="72" w:name="_Toc2711_WPSOffice_Level2"/>
      <w:bookmarkStart w:id="73" w:name="_Toc18793_WPSOffice_Level2"/>
      <w:bookmarkStart w:id="74" w:name="_Toc27767_WPSOffice_Level2"/>
      <w:bookmarkStart w:id="75" w:name="_Toc19075_WPSOffice_Level2"/>
      <w:bookmarkStart w:id="76" w:name="_Toc19535_WPSOffice_Level2"/>
      <w:bookmarkStart w:id="77" w:name="_Toc23864_WPSOffice_Level2"/>
      <w:r>
        <w:rPr>
          <w:rFonts w:hint="eastAsia" w:ascii="楷体" w:hAnsi="楷体" w:eastAsia="楷体" w:cs="楷体"/>
          <w:sz w:val="32"/>
          <w:szCs w:val="32"/>
          <w:lang w:val="en-US" w:eastAsia="zh-CN"/>
        </w:rPr>
        <w:t>（二）一般公共预算</w:t>
      </w:r>
      <w:r>
        <w:rPr>
          <w:rFonts w:hint="eastAsia" w:ascii="楷体" w:hAnsi="楷体" w:eastAsia="楷体" w:cs="楷体"/>
          <w:sz w:val="32"/>
          <w:szCs w:val="32"/>
        </w:rPr>
        <w:t>财政拨款支出决算结构情况</w:t>
      </w:r>
      <w:bookmarkEnd w:id="72"/>
      <w:bookmarkEnd w:id="73"/>
      <w:r>
        <w:rPr>
          <w:rFonts w:hint="eastAsia" w:ascii="楷体" w:hAnsi="楷体" w:eastAsia="楷体" w:cs="楷体"/>
          <w:sz w:val="32"/>
          <w:szCs w:val="32"/>
          <w:lang w:eastAsia="zh-CN"/>
        </w:rPr>
        <w:t>。</w:t>
      </w:r>
      <w:bookmarkEnd w:id="74"/>
      <w:bookmarkEnd w:id="75"/>
      <w:bookmarkEnd w:id="76"/>
      <w:bookmarkEnd w:id="77"/>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2020年度</w:t>
      </w:r>
      <w:r>
        <w:rPr>
          <w:rFonts w:hint="eastAsia" w:ascii="仿宋_GB2312" w:hAnsi="ˎ̥" w:eastAsia="仿宋_GB2312"/>
          <w:sz w:val="32"/>
          <w:szCs w:val="32"/>
        </w:rPr>
        <w:t>一般公共预算财政拨款支出</w:t>
      </w:r>
      <w:r>
        <w:rPr>
          <w:rFonts w:hint="eastAsia" w:ascii="仿宋_GB2312" w:hAnsi="ˎ̥" w:eastAsia="仿宋_GB2312"/>
          <w:sz w:val="32"/>
          <w:szCs w:val="32"/>
          <w:lang w:val="en-US" w:eastAsia="zh-CN"/>
        </w:rPr>
        <w:t>2413.62</w:t>
      </w:r>
      <w:r>
        <w:rPr>
          <w:rFonts w:hint="eastAsia" w:ascii="仿宋_GB2312" w:hAnsi="ˎ̥" w:eastAsia="仿宋_GB2312"/>
          <w:sz w:val="32"/>
          <w:szCs w:val="32"/>
        </w:rPr>
        <w:t>万元，主要用于以下方面：</w:t>
      </w:r>
      <w:r>
        <w:rPr>
          <w:rFonts w:hint="eastAsia" w:ascii="仿宋_GB2312" w:hAnsi="ˎ̥" w:eastAsia="仿宋_GB2312"/>
          <w:b/>
          <w:sz w:val="32"/>
          <w:szCs w:val="32"/>
        </w:rPr>
        <w:t>公共</w:t>
      </w:r>
      <w:r>
        <w:rPr>
          <w:rFonts w:hint="eastAsia" w:ascii="仿宋_GB2312" w:hAnsi="ˎ̥" w:eastAsia="仿宋_GB2312"/>
          <w:b/>
          <w:sz w:val="32"/>
          <w:szCs w:val="32"/>
          <w:lang w:eastAsia="zh-CN"/>
        </w:rPr>
        <w:t>安全</w:t>
      </w:r>
      <w:r>
        <w:rPr>
          <w:rFonts w:hint="eastAsia" w:ascii="仿宋_GB2312" w:hAnsi="ˎ̥" w:eastAsia="仿宋_GB2312"/>
          <w:sz w:val="32"/>
          <w:szCs w:val="32"/>
        </w:rPr>
        <w:t>支出</w:t>
      </w:r>
      <w:r>
        <w:rPr>
          <w:rFonts w:hint="eastAsia" w:ascii="仿宋_GB2312" w:hAnsi="ˎ̥" w:eastAsia="仿宋_GB2312"/>
          <w:sz w:val="32"/>
          <w:szCs w:val="32"/>
          <w:lang w:val="en-US" w:eastAsia="zh-CN"/>
        </w:rPr>
        <w:t>2072.46</w:t>
      </w:r>
      <w:r>
        <w:rPr>
          <w:rFonts w:hint="eastAsia" w:ascii="仿宋_GB2312" w:hAnsi="ˎ̥" w:eastAsia="仿宋_GB2312"/>
          <w:sz w:val="32"/>
          <w:szCs w:val="32"/>
        </w:rPr>
        <w:t>万元，占</w:t>
      </w:r>
      <w:r>
        <w:rPr>
          <w:rFonts w:hint="eastAsia" w:ascii="仿宋_GB2312" w:hAnsi="ˎ̥" w:eastAsia="仿宋_GB2312"/>
          <w:sz w:val="32"/>
          <w:szCs w:val="32"/>
          <w:lang w:val="en-US" w:eastAsia="zh-CN"/>
        </w:rPr>
        <w:t>85.86</w:t>
      </w:r>
      <w:r>
        <w:rPr>
          <w:rFonts w:hint="eastAsia" w:ascii="仿宋_GB2312" w:hAnsi="ˎ̥" w:eastAsia="仿宋_GB2312"/>
          <w:sz w:val="32"/>
          <w:szCs w:val="32"/>
        </w:rPr>
        <w:t>%；</w:t>
      </w:r>
      <w:r>
        <w:rPr>
          <w:rFonts w:hint="eastAsia" w:ascii="仿宋_GB2312" w:hAnsi="ˎ̥" w:eastAsia="仿宋_GB2312"/>
          <w:b/>
          <w:sz w:val="32"/>
          <w:szCs w:val="32"/>
        </w:rPr>
        <w:t>社会保障和就业</w:t>
      </w:r>
      <w:r>
        <w:rPr>
          <w:rFonts w:hint="eastAsia" w:ascii="仿宋_GB2312" w:hAnsi="ˎ̥" w:eastAsia="仿宋_GB2312"/>
          <w:sz w:val="32"/>
          <w:szCs w:val="32"/>
        </w:rPr>
        <w:t>支出</w:t>
      </w:r>
      <w:r>
        <w:rPr>
          <w:rFonts w:hint="eastAsia" w:ascii="仿宋_GB2312" w:hAnsi="ˎ̥" w:eastAsia="仿宋_GB2312"/>
          <w:sz w:val="32"/>
          <w:szCs w:val="32"/>
          <w:lang w:val="en-US" w:eastAsia="zh-CN"/>
        </w:rPr>
        <w:t>93.21</w:t>
      </w:r>
      <w:r>
        <w:rPr>
          <w:rFonts w:hint="eastAsia" w:ascii="仿宋_GB2312" w:hAnsi="ˎ̥" w:eastAsia="仿宋_GB2312"/>
          <w:sz w:val="32"/>
          <w:szCs w:val="32"/>
        </w:rPr>
        <w:t>万元，占</w:t>
      </w:r>
      <w:r>
        <w:rPr>
          <w:rFonts w:hint="eastAsia" w:ascii="仿宋_GB2312" w:hAnsi="ˎ̥" w:eastAsia="仿宋_GB2312"/>
          <w:sz w:val="32"/>
          <w:szCs w:val="32"/>
          <w:lang w:val="en-US" w:eastAsia="zh-CN"/>
        </w:rPr>
        <w:t>3.86</w:t>
      </w:r>
      <w:r>
        <w:rPr>
          <w:rFonts w:hint="eastAsia" w:ascii="仿宋_GB2312" w:hAnsi="ˎ̥" w:eastAsia="仿宋_GB2312"/>
          <w:sz w:val="32"/>
          <w:szCs w:val="32"/>
        </w:rPr>
        <w:t>%；</w:t>
      </w:r>
      <w:r>
        <w:rPr>
          <w:rFonts w:hint="eastAsia" w:ascii="仿宋_GB2312" w:hAnsi="仿宋_GB2312" w:eastAsia="仿宋_GB2312" w:cs="仿宋_GB2312"/>
          <w:b/>
          <w:sz w:val="32"/>
          <w:szCs w:val="32"/>
        </w:rPr>
        <w:t>卫生健康支出</w:t>
      </w:r>
      <w:r>
        <w:rPr>
          <w:rFonts w:hint="eastAsia" w:ascii="仿宋_GB2312" w:hAnsi="仿宋_GB2312" w:eastAsia="仿宋_GB2312" w:cs="仿宋_GB2312"/>
          <w:sz w:val="32"/>
          <w:szCs w:val="32"/>
        </w:rPr>
        <w:t>支出</w:t>
      </w:r>
      <w:r>
        <w:rPr>
          <w:rFonts w:hint="eastAsia" w:ascii="仿宋_GB2312" w:hAnsi="仿宋_GB2312" w:eastAsia="仿宋_GB2312" w:cs="仿宋_GB2312"/>
          <w:sz w:val="32"/>
          <w:szCs w:val="32"/>
          <w:lang w:val="en-US" w:eastAsia="zh-CN"/>
        </w:rPr>
        <w:t>151.95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ˎ̥" w:eastAsia="仿宋_GB2312"/>
          <w:sz w:val="32"/>
          <w:szCs w:val="32"/>
        </w:rPr>
        <w:t>占</w:t>
      </w:r>
      <w:r>
        <w:rPr>
          <w:rFonts w:hint="eastAsia" w:ascii="仿宋_GB2312" w:hAnsi="ˎ̥" w:eastAsia="仿宋_GB2312"/>
          <w:sz w:val="32"/>
          <w:szCs w:val="32"/>
          <w:lang w:val="en-US" w:eastAsia="zh-CN"/>
        </w:rPr>
        <w:t>6.3</w:t>
      </w:r>
      <w:r>
        <w:rPr>
          <w:rFonts w:hint="eastAsia" w:ascii="仿宋_GB2312" w:hAnsi="ˎ̥" w:eastAsia="仿宋_GB2312"/>
          <w:sz w:val="32"/>
          <w:szCs w:val="32"/>
        </w:rPr>
        <w:t>%</w:t>
      </w:r>
      <w:r>
        <w:rPr>
          <w:rFonts w:hint="eastAsia" w:ascii="仿宋_GB2312" w:hAnsi="仿宋_GB2312" w:eastAsia="仿宋_GB2312" w:cs="仿宋_GB2312"/>
          <w:sz w:val="32"/>
          <w:szCs w:val="32"/>
          <w:lang w:eastAsia="zh-CN"/>
        </w:rPr>
        <w:t>；</w:t>
      </w:r>
      <w:r>
        <w:rPr>
          <w:rFonts w:hint="eastAsia" w:ascii="仿宋_GB2312" w:hAnsi="ˎ̥" w:eastAsia="仿宋_GB2312"/>
          <w:b/>
          <w:bCs/>
          <w:sz w:val="32"/>
          <w:szCs w:val="32"/>
          <w:lang w:val="en-US" w:eastAsia="zh-CN"/>
        </w:rPr>
        <w:t>住房保障</w:t>
      </w:r>
      <w:r>
        <w:rPr>
          <w:rFonts w:hint="eastAsia" w:ascii="仿宋_GB2312" w:hAnsi="ˎ̥" w:eastAsia="仿宋_GB2312"/>
          <w:sz w:val="32"/>
          <w:szCs w:val="32"/>
        </w:rPr>
        <w:t>支出</w:t>
      </w:r>
      <w:r>
        <w:rPr>
          <w:rFonts w:hint="eastAsia" w:ascii="仿宋_GB2312" w:hAnsi="ˎ̥" w:eastAsia="仿宋_GB2312"/>
          <w:sz w:val="32"/>
          <w:szCs w:val="32"/>
          <w:lang w:val="en-US" w:eastAsia="zh-CN"/>
        </w:rPr>
        <w:t>96</w:t>
      </w:r>
      <w:r>
        <w:rPr>
          <w:rFonts w:hint="eastAsia" w:ascii="仿宋_GB2312" w:hAnsi="ˎ̥" w:eastAsia="仿宋_GB2312"/>
          <w:sz w:val="32"/>
          <w:szCs w:val="32"/>
        </w:rPr>
        <w:t>万元，占</w:t>
      </w:r>
      <w:r>
        <w:rPr>
          <w:rFonts w:hint="eastAsia" w:ascii="仿宋_GB2312" w:hAnsi="ˎ̥" w:eastAsia="仿宋_GB2312"/>
          <w:sz w:val="32"/>
          <w:szCs w:val="32"/>
          <w:lang w:val="en-US" w:eastAsia="zh-CN"/>
        </w:rPr>
        <w:t>3.98</w:t>
      </w:r>
      <w:r>
        <w:rPr>
          <w:rFonts w:hint="eastAsia" w:ascii="仿宋_GB2312" w:hAnsi="ˎ̥" w:eastAsia="仿宋_GB2312"/>
          <w:sz w:val="32"/>
          <w:szCs w:val="32"/>
        </w:rPr>
        <w:t>%。</w:t>
      </w:r>
    </w:p>
    <w:p>
      <w:pPr>
        <w:ind w:firstLine="640" w:firstLineChars="200"/>
        <w:rPr>
          <w:rFonts w:hint="eastAsia" w:ascii="楷体" w:hAnsi="楷体" w:eastAsia="楷体" w:cs="楷体"/>
          <w:sz w:val="32"/>
          <w:szCs w:val="32"/>
        </w:rPr>
      </w:pPr>
      <w:bookmarkStart w:id="78" w:name="_Toc25136_WPSOffice_Level2"/>
      <w:bookmarkStart w:id="79" w:name="_Toc29364_WPSOffice_Level2"/>
      <w:bookmarkStart w:id="80" w:name="_Toc9502_WPSOffice_Level2"/>
      <w:bookmarkStart w:id="81" w:name="_Toc15415_WPSOffice_Level2"/>
      <w:bookmarkStart w:id="82" w:name="_Toc22318_WPSOffice_Level2"/>
      <w:bookmarkStart w:id="83" w:name="_Toc21701_WPSOffice_Level2"/>
      <w:r>
        <w:rPr>
          <w:rFonts w:hint="eastAsia" w:ascii="楷体" w:hAnsi="楷体" w:eastAsia="楷体" w:cs="楷体"/>
          <w:sz w:val="32"/>
          <w:szCs w:val="32"/>
          <w:lang w:val="en-US" w:eastAsia="zh-CN"/>
        </w:rPr>
        <w:t>（三）一般公共预算</w:t>
      </w:r>
      <w:r>
        <w:rPr>
          <w:rFonts w:hint="eastAsia" w:ascii="楷体" w:hAnsi="楷体" w:eastAsia="楷体" w:cs="楷体"/>
          <w:sz w:val="32"/>
          <w:szCs w:val="32"/>
        </w:rPr>
        <w:t>财政拨款支出决算具体情况。</w:t>
      </w:r>
      <w:bookmarkEnd w:id="78"/>
      <w:bookmarkEnd w:id="79"/>
      <w:bookmarkEnd w:id="80"/>
      <w:bookmarkEnd w:id="81"/>
      <w:bookmarkEnd w:id="82"/>
      <w:bookmarkEnd w:id="83"/>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2020年度一般公共预算</w:t>
      </w:r>
      <w:r>
        <w:rPr>
          <w:rFonts w:hint="eastAsia" w:ascii="仿宋_GB2312" w:hAnsi="ˎ̥" w:eastAsia="仿宋_GB2312"/>
          <w:sz w:val="32"/>
          <w:szCs w:val="32"/>
        </w:rPr>
        <w:t>财政拨款支出年初预算为</w:t>
      </w:r>
      <w:r>
        <w:rPr>
          <w:rFonts w:hint="eastAsia" w:ascii="仿宋_GB2312" w:hAnsi="ˎ̥" w:eastAsia="仿宋_GB2312"/>
          <w:sz w:val="32"/>
          <w:szCs w:val="32"/>
          <w:lang w:val="en-US" w:eastAsia="zh-CN"/>
        </w:rPr>
        <w:t>2289.93</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2413.62</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105.4</w:t>
      </w:r>
      <w:r>
        <w:rPr>
          <w:rFonts w:hint="eastAsia" w:ascii="仿宋_GB2312" w:hAnsi="ˎ̥" w:eastAsia="仿宋_GB2312"/>
          <w:sz w:val="32"/>
          <w:szCs w:val="32"/>
        </w:rPr>
        <w:t>%。其中：</w:t>
      </w:r>
    </w:p>
    <w:p>
      <w:pPr>
        <w:ind w:firstLine="643" w:firstLineChars="200"/>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rPr>
        <w:t>1.公共安全支出（类）检察（款）</w:t>
      </w:r>
      <w:r>
        <w:rPr>
          <w:rFonts w:hint="eastAsia" w:ascii="仿宋_GB2312" w:hAnsi="仿宋_GB2312" w:eastAsia="仿宋_GB2312" w:cs="仿宋_GB2312"/>
          <w:b/>
          <w:sz w:val="32"/>
          <w:szCs w:val="32"/>
          <w:lang w:eastAsia="zh-CN"/>
        </w:rPr>
        <w:t>行政运行（项）</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年初预算为</w:t>
      </w:r>
      <w:r>
        <w:rPr>
          <w:rFonts w:hint="eastAsia" w:ascii="仿宋_GB2312" w:hAnsi="仿宋_GB2312" w:eastAsia="仿宋_GB2312" w:cs="仿宋_GB2312"/>
          <w:sz w:val="32"/>
          <w:szCs w:val="32"/>
          <w:lang w:val="en-US" w:eastAsia="zh-CN"/>
        </w:rPr>
        <w:t>1411.82万元，支出决算为1338万元，完成年初预算的94.77%。</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eastAsia="zh-CN"/>
        </w:rPr>
        <w:t>小</w:t>
      </w:r>
      <w:r>
        <w:rPr>
          <w:rFonts w:hint="eastAsia" w:ascii="仿宋_GB2312" w:hAnsi="仿宋_GB2312" w:eastAsia="仿宋_GB2312" w:cs="仿宋_GB2312"/>
          <w:sz w:val="32"/>
          <w:szCs w:val="32"/>
        </w:rPr>
        <w:t>于预算数的主要原因：</w:t>
      </w:r>
      <w:r>
        <w:rPr>
          <w:rFonts w:hint="eastAsia" w:ascii="仿宋_GB2312" w:hAnsi="ˎ̥" w:eastAsia="仿宋_GB2312"/>
          <w:sz w:val="32"/>
          <w:szCs w:val="32"/>
          <w:lang w:eastAsia="zh-CN"/>
        </w:rPr>
        <w:t>人员因退休、离职等减少，行政运行支出减少。</w:t>
      </w:r>
    </w:p>
    <w:p>
      <w:pPr>
        <w:ind w:firstLine="643" w:firstLineChars="200"/>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lang w:val="en-US" w:eastAsia="zh-CN"/>
        </w:rPr>
        <w:t>2</w:t>
      </w:r>
      <w:r>
        <w:rPr>
          <w:rFonts w:hint="eastAsia" w:ascii="仿宋_GB2312" w:hAnsi="仿宋_GB2312" w:eastAsia="仿宋_GB2312" w:cs="仿宋_GB2312"/>
          <w:b/>
          <w:sz w:val="32"/>
          <w:szCs w:val="32"/>
        </w:rPr>
        <w:t>.公共安全支出（类）检察（款）</w:t>
      </w:r>
      <w:r>
        <w:rPr>
          <w:rFonts w:hint="eastAsia" w:ascii="仿宋_GB2312" w:hAnsi="仿宋_GB2312" w:eastAsia="仿宋_GB2312" w:cs="仿宋_GB2312"/>
          <w:b/>
          <w:sz w:val="32"/>
          <w:szCs w:val="32"/>
          <w:lang w:eastAsia="zh-CN"/>
        </w:rPr>
        <w:t>检察监督（项）</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年初预算为</w:t>
      </w:r>
      <w:r>
        <w:rPr>
          <w:rFonts w:hint="eastAsia" w:ascii="仿宋_GB2312" w:hAnsi="仿宋_GB2312" w:eastAsia="仿宋_GB2312" w:cs="仿宋_GB2312"/>
          <w:sz w:val="32"/>
          <w:szCs w:val="32"/>
          <w:lang w:val="en-US" w:eastAsia="zh-CN"/>
        </w:rPr>
        <w:t>90万元，支出决算为85万元，完成年初预算的94.44%。</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eastAsia="zh-CN"/>
        </w:rPr>
        <w:t>小</w:t>
      </w:r>
      <w:r>
        <w:rPr>
          <w:rFonts w:hint="eastAsia" w:ascii="仿宋_GB2312" w:hAnsi="仿宋_GB2312" w:eastAsia="仿宋_GB2312" w:cs="仿宋_GB2312"/>
          <w:sz w:val="32"/>
          <w:szCs w:val="32"/>
        </w:rPr>
        <w:t>于预算数的主要原因：</w:t>
      </w:r>
      <w:r>
        <w:rPr>
          <w:rFonts w:hint="eastAsia" w:ascii="仿宋_GB2312" w:hAnsi="仿宋_GB2312" w:eastAsia="仿宋_GB2312" w:cs="仿宋_GB2312"/>
          <w:sz w:val="32"/>
          <w:szCs w:val="32"/>
          <w:lang w:eastAsia="zh-CN"/>
        </w:rPr>
        <w:t>政策性压减预算支出</w:t>
      </w:r>
      <w:r>
        <w:rPr>
          <w:rFonts w:hint="eastAsia" w:ascii="仿宋_GB2312" w:hAnsi="仿宋_GB2312" w:eastAsia="仿宋_GB2312" w:cs="仿宋_GB2312"/>
          <w:sz w:val="32"/>
          <w:szCs w:val="32"/>
          <w:lang w:val="en-US" w:eastAsia="zh-CN"/>
        </w:rPr>
        <w:t>。</w:t>
      </w:r>
    </w:p>
    <w:p>
      <w:pPr>
        <w:ind w:firstLine="643" w:firstLineChars="200"/>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lang w:val="en-US" w:eastAsia="zh-CN"/>
        </w:rPr>
        <w:t>3</w:t>
      </w:r>
      <w:r>
        <w:rPr>
          <w:rFonts w:hint="eastAsia" w:ascii="仿宋_GB2312" w:hAnsi="仿宋_GB2312" w:eastAsia="仿宋_GB2312" w:cs="仿宋_GB2312"/>
          <w:b/>
          <w:sz w:val="32"/>
          <w:szCs w:val="32"/>
        </w:rPr>
        <w:t>.公共安全支出（类）检察（款）</w:t>
      </w:r>
      <w:r>
        <w:rPr>
          <w:rFonts w:hint="eastAsia" w:ascii="仿宋_GB2312" w:hAnsi="仿宋_GB2312" w:eastAsia="仿宋_GB2312" w:cs="仿宋_GB2312"/>
          <w:b/>
          <w:sz w:val="32"/>
          <w:szCs w:val="32"/>
          <w:lang w:eastAsia="zh-CN"/>
        </w:rPr>
        <w:t>其他检察支出（项）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年初预算为</w:t>
      </w:r>
      <w:r>
        <w:rPr>
          <w:rFonts w:hint="eastAsia" w:ascii="仿宋_GB2312" w:hAnsi="仿宋_GB2312" w:eastAsia="仿宋_GB2312" w:cs="仿宋_GB2312"/>
          <w:sz w:val="32"/>
          <w:szCs w:val="32"/>
          <w:lang w:val="en-US" w:eastAsia="zh-CN"/>
        </w:rPr>
        <w:t>416万元，支出决算为649.44万元，完成年初预算的156.12%。</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eastAsia="zh-CN"/>
        </w:rPr>
        <w:t>大</w:t>
      </w:r>
      <w:r>
        <w:rPr>
          <w:rFonts w:hint="eastAsia" w:ascii="仿宋_GB2312" w:hAnsi="仿宋_GB2312" w:eastAsia="仿宋_GB2312" w:cs="仿宋_GB2312"/>
          <w:sz w:val="32"/>
          <w:szCs w:val="32"/>
        </w:rPr>
        <w:t>于预算数的主要原因：</w:t>
      </w:r>
      <w:r>
        <w:rPr>
          <w:rFonts w:hint="eastAsia" w:ascii="仿宋_GB2312" w:hAnsi="仿宋_GB2312" w:eastAsia="仿宋_GB2312" w:cs="仿宋_GB2312"/>
          <w:sz w:val="32"/>
          <w:szCs w:val="32"/>
          <w:lang w:eastAsia="zh-CN"/>
        </w:rPr>
        <w:t>中央政法转移支付资金（办案费和装备款）未列入年初预算，当年中央政法转移支付资金下达后，支出增加。</w:t>
      </w:r>
    </w:p>
    <w:p>
      <w:pPr>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4</w:t>
      </w:r>
      <w:r>
        <w:rPr>
          <w:rFonts w:hint="eastAsia" w:ascii="仿宋_GB2312" w:hAnsi="仿宋_GB2312" w:eastAsia="仿宋_GB2312" w:cs="仿宋_GB2312"/>
          <w:b/>
          <w:sz w:val="32"/>
          <w:szCs w:val="32"/>
        </w:rPr>
        <w:t>.社会保障和就业支出（类）行政事业单位离退休（款）机关事业单位基本养老保险缴费支出（项）</w:t>
      </w:r>
    </w:p>
    <w:p>
      <w:pPr>
        <w:ind w:firstLine="64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108.29</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92.11</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85.06</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eastAsia="zh-CN"/>
        </w:rPr>
        <w:t>小</w:t>
      </w:r>
      <w:r>
        <w:rPr>
          <w:rFonts w:hint="eastAsia" w:ascii="仿宋_GB2312" w:hAnsi="仿宋_GB2312" w:eastAsia="仿宋_GB2312" w:cs="仿宋_GB2312"/>
          <w:sz w:val="32"/>
          <w:szCs w:val="32"/>
        </w:rPr>
        <w:t>于预算数的主要原因：</w:t>
      </w:r>
      <w:r>
        <w:rPr>
          <w:rFonts w:hint="eastAsia" w:ascii="仿宋_GB2312" w:hAnsi="仿宋_GB2312" w:eastAsia="仿宋_GB2312" w:cs="仿宋_GB2312"/>
          <w:sz w:val="32"/>
          <w:szCs w:val="32"/>
          <w:lang w:eastAsia="zh-CN"/>
        </w:rPr>
        <w:t>人员退休和辞职，养老保险缴费减少。</w:t>
      </w:r>
    </w:p>
    <w:p>
      <w:pPr>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5</w:t>
      </w:r>
      <w:r>
        <w:rPr>
          <w:rFonts w:hint="eastAsia" w:ascii="仿宋_GB2312" w:hAnsi="仿宋_GB2312" w:eastAsia="仿宋_GB2312" w:cs="仿宋_GB2312"/>
          <w:b/>
          <w:sz w:val="32"/>
          <w:szCs w:val="32"/>
        </w:rPr>
        <w:t>.社会保障和就业支出（类）抚恤（款）其他优抚支出（项）</w:t>
      </w:r>
    </w:p>
    <w:p>
      <w:pPr>
        <w:ind w:firstLine="64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年初预算为1.</w:t>
      </w:r>
      <w:r>
        <w:rPr>
          <w:rFonts w:hint="eastAsia" w:ascii="仿宋_GB2312" w:hAnsi="仿宋_GB2312" w:eastAsia="仿宋_GB2312" w:cs="仿宋_GB2312"/>
          <w:sz w:val="32"/>
          <w:szCs w:val="32"/>
          <w:lang w:val="en-US" w:eastAsia="zh-CN"/>
        </w:rPr>
        <w:t>32</w:t>
      </w:r>
      <w:r>
        <w:rPr>
          <w:rFonts w:hint="eastAsia" w:ascii="仿宋_GB2312" w:hAnsi="仿宋_GB2312" w:eastAsia="仿宋_GB2312" w:cs="仿宋_GB2312"/>
          <w:sz w:val="32"/>
          <w:szCs w:val="32"/>
        </w:rPr>
        <w:t>万元，支出决算为1.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83.33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eastAsia="zh-CN"/>
        </w:rPr>
        <w:t>小</w:t>
      </w:r>
      <w:r>
        <w:rPr>
          <w:rFonts w:hint="eastAsia" w:ascii="仿宋_GB2312" w:hAnsi="仿宋_GB2312" w:eastAsia="仿宋_GB2312" w:cs="仿宋_GB2312"/>
          <w:sz w:val="32"/>
          <w:szCs w:val="32"/>
        </w:rPr>
        <w:t>于预算数的主要原因：</w:t>
      </w:r>
      <w:r>
        <w:rPr>
          <w:rFonts w:hint="eastAsia" w:ascii="仿宋_GB2312" w:hAnsi="仿宋_GB2312" w:eastAsia="仿宋_GB2312" w:cs="仿宋_GB2312"/>
          <w:sz w:val="32"/>
          <w:szCs w:val="32"/>
          <w:lang w:eastAsia="zh-CN"/>
        </w:rPr>
        <w:t>年中有遗属供养人员去世，支出相应减少</w:t>
      </w:r>
      <w:r>
        <w:rPr>
          <w:rFonts w:hint="eastAsia" w:ascii="仿宋_GB2312" w:hAnsi="仿宋_GB2312" w:eastAsia="仿宋_GB2312" w:cs="仿宋_GB2312"/>
          <w:sz w:val="32"/>
          <w:szCs w:val="32"/>
        </w:rPr>
        <w:t>。</w:t>
      </w:r>
    </w:p>
    <w:p>
      <w:pPr>
        <w:ind w:firstLine="64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6</w:t>
      </w:r>
      <w:r>
        <w:rPr>
          <w:rFonts w:hint="eastAsia" w:ascii="仿宋_GB2312" w:hAnsi="仿宋_GB2312" w:eastAsia="仿宋_GB2312" w:cs="仿宋_GB2312"/>
          <w:b/>
          <w:sz w:val="32"/>
          <w:szCs w:val="32"/>
        </w:rPr>
        <w:t>.卫生健康支出（类）行政事业单位医疗（款）行政单位医疗（项）</w:t>
      </w:r>
    </w:p>
    <w:p>
      <w:pPr>
        <w:ind w:firstLine="641"/>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57.53</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45.96</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79.89</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决算数小于预算数的主要原因：</w:t>
      </w:r>
      <w:r>
        <w:rPr>
          <w:rFonts w:hint="eastAsia" w:ascii="仿宋_GB2312" w:hAnsi="仿宋_GB2312" w:eastAsia="仿宋_GB2312" w:cs="仿宋_GB2312"/>
          <w:sz w:val="32"/>
          <w:szCs w:val="32"/>
          <w:lang w:eastAsia="zh-CN"/>
        </w:rPr>
        <w:t>人员退休和辞职，医疗保险缴费减少。</w:t>
      </w:r>
    </w:p>
    <w:p>
      <w:pPr>
        <w:ind w:firstLine="64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7</w:t>
      </w:r>
      <w:r>
        <w:rPr>
          <w:rFonts w:hint="eastAsia" w:ascii="仿宋_GB2312" w:hAnsi="仿宋_GB2312" w:eastAsia="仿宋_GB2312" w:cs="仿宋_GB2312"/>
          <w:b/>
          <w:sz w:val="32"/>
          <w:szCs w:val="32"/>
        </w:rPr>
        <w:t>.卫生健康支出（类）行政事业单位医疗（款）公务员医疗补助（项）</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105.99</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105.99</w:t>
      </w:r>
      <w:r>
        <w:rPr>
          <w:rFonts w:hint="eastAsia" w:ascii="仿宋_GB2312" w:hAnsi="仿宋_GB2312" w:eastAsia="仿宋_GB2312" w:cs="仿宋_GB2312"/>
          <w:sz w:val="32"/>
          <w:szCs w:val="32"/>
        </w:rPr>
        <w:t>万元，完成年初预算的1</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(人员退休后仍缴纳公务员医疗补助)</w:t>
      </w:r>
    </w:p>
    <w:p>
      <w:pPr>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8.</w:t>
      </w:r>
      <w:r>
        <w:rPr>
          <w:rFonts w:hint="eastAsia" w:ascii="仿宋_GB2312" w:hAnsi="仿宋_GB2312" w:eastAsia="仿宋_GB2312" w:cs="仿宋_GB2312"/>
          <w:b/>
          <w:sz w:val="32"/>
          <w:szCs w:val="32"/>
        </w:rPr>
        <w:t>住房保障支出（类）住房改革支出（款）住房公积金（项）</w:t>
      </w:r>
    </w:p>
    <w:p>
      <w:pPr>
        <w:ind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98.97</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96</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97</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eastAsia="zh-CN"/>
        </w:rPr>
        <w:t>小</w:t>
      </w:r>
      <w:r>
        <w:rPr>
          <w:rFonts w:hint="eastAsia" w:ascii="仿宋_GB2312" w:hAnsi="仿宋_GB2312" w:eastAsia="仿宋_GB2312" w:cs="仿宋_GB2312"/>
          <w:sz w:val="32"/>
          <w:szCs w:val="32"/>
        </w:rPr>
        <w:t>于预算数的主要原因：</w:t>
      </w:r>
      <w:r>
        <w:rPr>
          <w:rFonts w:hint="eastAsia" w:ascii="仿宋_GB2312" w:hAnsi="仿宋_GB2312" w:eastAsia="仿宋_GB2312" w:cs="仿宋_GB2312"/>
          <w:sz w:val="32"/>
          <w:szCs w:val="32"/>
          <w:lang w:eastAsia="zh-CN"/>
        </w:rPr>
        <w:t>人员退休和辞职，</w:t>
      </w:r>
      <w:r>
        <w:rPr>
          <w:rFonts w:hint="eastAsia" w:ascii="仿宋_GB2312" w:hAnsi="仿宋_GB2312" w:eastAsia="仿宋_GB2312" w:cs="仿宋_GB2312"/>
          <w:sz w:val="32"/>
          <w:szCs w:val="32"/>
        </w:rPr>
        <w:t>住房公积金缴费</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rPr>
        <w:t>。</w:t>
      </w:r>
    </w:p>
    <w:p>
      <w:pPr>
        <w:ind w:firstLine="627" w:firstLineChars="196"/>
        <w:rPr>
          <w:rFonts w:hint="eastAsia" w:ascii="黑体" w:hAnsi="黑体" w:eastAsia="黑体" w:cs="黑体"/>
          <w:b w:val="0"/>
          <w:bCs/>
          <w:sz w:val="32"/>
          <w:szCs w:val="32"/>
          <w:lang w:eastAsia="zh-CN"/>
        </w:rPr>
      </w:pPr>
    </w:p>
    <w:p>
      <w:pPr>
        <w:ind w:firstLine="627" w:firstLineChars="196"/>
        <w:rPr>
          <w:rFonts w:hint="eastAsia" w:ascii="黑体" w:hAnsi="黑体" w:eastAsia="黑体" w:cs="黑体"/>
          <w:sz w:val="32"/>
          <w:szCs w:val="32"/>
          <w:lang w:eastAsia="zh-CN"/>
        </w:rPr>
      </w:pPr>
      <w:r>
        <w:rPr>
          <w:rFonts w:hint="eastAsia" w:ascii="黑体" w:hAnsi="黑体" w:eastAsia="黑体" w:cs="黑体"/>
          <w:b w:val="0"/>
          <w:bCs/>
          <w:sz w:val="32"/>
          <w:szCs w:val="32"/>
          <w:lang w:eastAsia="zh-CN"/>
        </w:rPr>
        <w:t>六、</w:t>
      </w:r>
      <w:r>
        <w:rPr>
          <w:rFonts w:hint="eastAsia" w:ascii="黑体" w:hAnsi="黑体" w:eastAsia="黑体" w:cs="黑体"/>
          <w:b w:val="0"/>
          <w:bCs/>
          <w:sz w:val="32"/>
          <w:szCs w:val="32"/>
        </w:rPr>
        <w:t>一般公共预算财政拨款基本支出决算情况说明</w:t>
      </w:r>
    </w:p>
    <w:p>
      <w:pPr>
        <w:tabs>
          <w:tab w:val="center" w:pos="4473"/>
        </w:tabs>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2020年度</w:t>
      </w:r>
      <w:r>
        <w:rPr>
          <w:rFonts w:hint="eastAsia" w:ascii="仿宋_GB2312" w:hAnsi="ˎ̥" w:eastAsia="仿宋_GB2312"/>
          <w:sz w:val="32"/>
          <w:szCs w:val="32"/>
        </w:rPr>
        <w:t>财政拨款基本支出</w:t>
      </w:r>
      <w:r>
        <w:rPr>
          <w:rFonts w:hint="eastAsia" w:ascii="仿宋_GB2312" w:hAnsi="ˎ̥" w:eastAsia="仿宋_GB2312"/>
          <w:sz w:val="32"/>
          <w:szCs w:val="32"/>
          <w:lang w:val="en-US" w:eastAsia="zh-CN"/>
        </w:rPr>
        <w:t>1679.17</w:t>
      </w:r>
      <w:r>
        <w:rPr>
          <w:rFonts w:hint="eastAsia" w:ascii="仿宋_GB2312" w:hAnsi="ˎ̥" w:eastAsia="仿宋_GB2312"/>
          <w:sz w:val="32"/>
          <w:szCs w:val="32"/>
        </w:rPr>
        <w:t>万元，其中：人员经费</w:t>
      </w:r>
      <w:r>
        <w:rPr>
          <w:rFonts w:hint="eastAsia" w:ascii="仿宋_GB2312" w:hAnsi="ˎ̥" w:eastAsia="仿宋_GB2312"/>
          <w:sz w:val="32"/>
          <w:szCs w:val="32"/>
          <w:lang w:val="en-US" w:eastAsia="zh-CN"/>
        </w:rPr>
        <w:t>1324.29</w:t>
      </w:r>
      <w:r>
        <w:rPr>
          <w:rFonts w:hint="eastAsia" w:ascii="仿宋_GB2312" w:hAnsi="ˎ̥" w:eastAsia="仿宋_GB2312"/>
          <w:sz w:val="32"/>
          <w:szCs w:val="32"/>
        </w:rPr>
        <w:t>万元，主要包括：基本工资、津贴补贴、奖金、社会保障缴费、伙食费、伙食补助费、绩效工资、其他工资福利支出等、离休费、退休费、退职（役）费、抚恤金、生活补助、救济费、医疗费、助学金、奖励金、生产补贴、住房公积金、提租补贴、购房补贴、其他对个人和家庭的补助支出等。公用经费</w:t>
      </w:r>
      <w:r>
        <w:rPr>
          <w:rFonts w:hint="eastAsia" w:ascii="仿宋_GB2312" w:hAnsi="ˎ̥" w:eastAsia="仿宋_GB2312"/>
          <w:sz w:val="32"/>
          <w:szCs w:val="32"/>
          <w:lang w:val="en-US" w:eastAsia="zh-CN"/>
        </w:rPr>
        <w:t>354.88</w:t>
      </w:r>
      <w:r>
        <w:rPr>
          <w:rFonts w:hint="eastAsia" w:ascii="仿宋_GB2312" w:hAnsi="ˎ̥" w:eastAsia="仿宋_GB2312"/>
          <w:sz w:val="32"/>
          <w:szCs w:val="32"/>
        </w:rPr>
        <w:t>万元，主要包括：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w:t>
      </w:r>
    </w:p>
    <w:p>
      <w:pPr>
        <w:tabs>
          <w:tab w:val="center" w:pos="4473"/>
        </w:tabs>
        <w:ind w:firstLine="627" w:firstLineChars="196"/>
        <w:rPr>
          <w:rFonts w:hint="eastAsia" w:ascii="黑体" w:hAnsi="黑体" w:eastAsia="黑体" w:cs="黑体"/>
          <w:bCs/>
          <w:sz w:val="32"/>
          <w:szCs w:val="32"/>
          <w:lang w:eastAsia="zh-CN"/>
        </w:rPr>
      </w:pPr>
      <w:r>
        <w:rPr>
          <w:rFonts w:hint="eastAsia" w:ascii="黑体" w:hAnsi="黑体" w:eastAsia="黑体" w:cs="黑体"/>
          <w:bCs/>
          <w:sz w:val="32"/>
          <w:szCs w:val="32"/>
          <w:lang w:eastAsia="zh-CN"/>
        </w:rPr>
        <w:t>七、政府性基金预算财政拨款支出决算情况说明</w:t>
      </w:r>
    </w:p>
    <w:p>
      <w:pPr>
        <w:ind w:firstLine="627" w:firstLineChars="196"/>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万宁市人民检察院没有政府性基金预算财政拨款支出。</w:t>
      </w:r>
    </w:p>
    <w:p>
      <w:pPr>
        <w:tabs>
          <w:tab w:val="center" w:pos="4473"/>
        </w:tabs>
        <w:ind w:firstLine="627" w:firstLineChars="196"/>
        <w:rPr>
          <w:rFonts w:hint="eastAsia" w:ascii="黑体" w:hAnsi="黑体" w:eastAsia="黑体" w:cs="黑体"/>
          <w:bCs/>
          <w:sz w:val="32"/>
          <w:szCs w:val="32"/>
          <w:lang w:eastAsia="zh-CN"/>
        </w:rPr>
      </w:pPr>
      <w:r>
        <w:rPr>
          <w:rFonts w:hint="eastAsia" w:ascii="黑体" w:hAnsi="黑体" w:eastAsia="黑体" w:cs="黑体"/>
          <w:bCs/>
          <w:sz w:val="32"/>
          <w:szCs w:val="32"/>
          <w:lang w:eastAsia="zh-CN"/>
        </w:rPr>
        <w:t>八、国有资本经营预算财政拨款支出决算情况说明</w:t>
      </w:r>
    </w:p>
    <w:p>
      <w:pPr>
        <w:ind w:firstLine="627" w:firstLineChars="196"/>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万宁市人民检察院没有国有资本经营预算财政拨款支出。</w:t>
      </w:r>
    </w:p>
    <w:p>
      <w:pPr>
        <w:ind w:firstLine="627" w:firstLineChars="196"/>
        <w:rPr>
          <w:rFonts w:hint="eastAsia" w:ascii="仿宋_GB2312" w:hAnsi="ˎ̥" w:eastAsia="楷体_GB2312"/>
          <w:sz w:val="32"/>
          <w:szCs w:val="32"/>
          <w:lang w:eastAsia="zh-CN"/>
        </w:rPr>
      </w:pPr>
      <w:r>
        <w:rPr>
          <w:rFonts w:hint="eastAsia" w:ascii="黑体" w:hAnsi="黑体" w:eastAsia="黑体" w:cs="黑体"/>
          <w:b w:val="0"/>
          <w:bCs/>
          <w:sz w:val="32"/>
          <w:szCs w:val="32"/>
          <w:lang w:eastAsia="zh-CN"/>
        </w:rPr>
        <w:t>九、</w:t>
      </w:r>
      <w:r>
        <w:rPr>
          <w:rFonts w:hint="eastAsia" w:ascii="黑体" w:hAnsi="黑体" w:eastAsia="黑体" w:cs="黑体"/>
          <w:b w:val="0"/>
          <w:bCs/>
          <w:sz w:val="32"/>
          <w:szCs w:val="32"/>
        </w:rPr>
        <w:t>一般公共预算财政拨款“三公”经费支出决算情况说明</w:t>
      </w:r>
    </w:p>
    <w:p>
      <w:pPr>
        <w:ind w:firstLine="643" w:firstLineChars="200"/>
        <w:rPr>
          <w:rFonts w:hint="eastAsia" w:ascii="楷体" w:hAnsi="楷体" w:eastAsia="楷体" w:cs="楷体"/>
          <w:sz w:val="32"/>
          <w:szCs w:val="32"/>
        </w:rPr>
      </w:pPr>
      <w:r>
        <w:rPr>
          <w:rFonts w:hint="eastAsia" w:ascii="楷体" w:hAnsi="楷体" w:eastAsia="楷体" w:cs="楷体"/>
          <w:b/>
          <w:sz w:val="32"/>
          <w:szCs w:val="32"/>
          <w:lang w:eastAsia="zh-CN"/>
        </w:rPr>
        <w:t>（一）</w:t>
      </w:r>
      <w:r>
        <w:rPr>
          <w:rFonts w:hint="eastAsia" w:ascii="楷体" w:hAnsi="楷体" w:eastAsia="楷体" w:cs="楷体"/>
          <w:b/>
          <w:sz w:val="32"/>
          <w:szCs w:val="32"/>
          <w:lang w:val="en-US" w:eastAsia="zh-CN"/>
        </w:rPr>
        <w:t>一般公共预算</w:t>
      </w:r>
      <w:r>
        <w:rPr>
          <w:rFonts w:hint="eastAsia" w:ascii="楷体" w:hAnsi="楷体" w:eastAsia="楷体" w:cs="楷体"/>
          <w:b/>
          <w:sz w:val="32"/>
          <w:szCs w:val="32"/>
        </w:rPr>
        <w:t>财政拨款“三公”经费支出决算总体情况说明。</w:t>
      </w:r>
    </w:p>
    <w:p>
      <w:pPr>
        <w:rPr>
          <w:rFonts w:hint="eastAsia" w:ascii="仿宋_GB2312" w:hAnsi="ˎ̥" w:eastAsia="仿宋_GB2312"/>
          <w:sz w:val="32"/>
          <w:szCs w:val="32"/>
        </w:rPr>
      </w:pPr>
      <w:r>
        <w:rPr>
          <w:rFonts w:hint="eastAsia" w:ascii="仿宋_GB2312" w:hAnsi="ˎ̥" w:eastAsia="仿宋_GB2312"/>
          <w:sz w:val="32"/>
          <w:szCs w:val="32"/>
          <w:lang w:val="en-US" w:eastAsia="zh-CN"/>
        </w:rPr>
        <w:t xml:space="preserve">    </w:t>
      </w:r>
      <w:r>
        <w:rPr>
          <w:rFonts w:hint="eastAsia" w:ascii="仿宋_GB2312" w:hAnsi="ˎ̥" w:eastAsia="仿宋_GB2312"/>
          <w:sz w:val="32"/>
          <w:szCs w:val="32"/>
          <w:lang w:eastAsia="zh-CN"/>
        </w:rPr>
        <w:t>2020年度</w:t>
      </w:r>
      <w:r>
        <w:rPr>
          <w:rFonts w:hint="eastAsia" w:ascii="仿宋_GB2312" w:hAnsi="ˎ̥" w:eastAsia="仿宋_GB2312"/>
          <w:sz w:val="32"/>
          <w:szCs w:val="32"/>
          <w:lang w:val="en-US" w:eastAsia="zh-CN"/>
        </w:rPr>
        <w:t>一般公共预算财政拨款</w:t>
      </w:r>
      <w:r>
        <w:rPr>
          <w:rFonts w:hint="eastAsia" w:ascii="仿宋_GB2312" w:hAnsi="ˎ̥" w:eastAsia="仿宋_GB2312"/>
          <w:sz w:val="32"/>
          <w:szCs w:val="32"/>
        </w:rPr>
        <w:t>“三公”经费支出预算为</w:t>
      </w:r>
      <w:r>
        <w:rPr>
          <w:rFonts w:hint="eastAsia" w:ascii="仿宋_GB2312" w:hAnsi="ˎ̥" w:eastAsia="仿宋_GB2312"/>
          <w:sz w:val="32"/>
          <w:szCs w:val="32"/>
          <w:lang w:val="en-US" w:eastAsia="zh-CN"/>
        </w:rPr>
        <w:t>35</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23.42</w:t>
      </w:r>
      <w:r>
        <w:rPr>
          <w:rFonts w:hint="eastAsia" w:ascii="仿宋_GB2312" w:hAnsi="ˎ̥" w:eastAsia="仿宋_GB2312"/>
          <w:sz w:val="32"/>
          <w:szCs w:val="32"/>
        </w:rPr>
        <w:t>万元，完成预算的</w:t>
      </w:r>
      <w:r>
        <w:rPr>
          <w:rFonts w:hint="eastAsia" w:ascii="仿宋_GB2312" w:hAnsi="ˎ̥" w:eastAsia="仿宋_GB2312"/>
          <w:sz w:val="32"/>
          <w:szCs w:val="32"/>
          <w:lang w:val="en-US" w:eastAsia="zh-CN"/>
        </w:rPr>
        <w:t>66.91</w:t>
      </w:r>
      <w:r>
        <w:rPr>
          <w:rFonts w:hint="eastAsia" w:ascii="仿宋_GB2312" w:hAnsi="ˎ̥" w:eastAsia="仿宋_GB2312"/>
          <w:sz w:val="32"/>
          <w:szCs w:val="32"/>
        </w:rPr>
        <w:t>%</w:t>
      </w:r>
      <w:r>
        <w:rPr>
          <w:rFonts w:hint="eastAsia" w:ascii="仿宋_GB2312" w:hAnsi="ˎ̥" w:eastAsia="仿宋_GB2312"/>
          <w:sz w:val="32"/>
          <w:szCs w:val="32"/>
          <w:lang w:eastAsia="zh-CN"/>
        </w:rPr>
        <w:t>。</w:t>
      </w:r>
    </w:p>
    <w:p>
      <w:pPr>
        <w:rPr>
          <w:rFonts w:hint="eastAsia" w:ascii="楷体" w:hAnsi="楷体" w:eastAsia="楷体" w:cs="楷体"/>
          <w:b/>
          <w:bCs/>
          <w:sz w:val="32"/>
          <w:szCs w:val="32"/>
        </w:rPr>
      </w:pPr>
      <w:r>
        <w:rPr>
          <w:rFonts w:hint="eastAsia" w:ascii="楷体" w:hAnsi="楷体" w:eastAsia="楷体" w:cs="楷体"/>
          <w:b/>
          <w:bCs/>
          <w:sz w:val="32"/>
          <w:szCs w:val="32"/>
        </w:rPr>
        <w:t xml:space="preserve">  </w:t>
      </w:r>
      <w:r>
        <w:rPr>
          <w:rFonts w:hint="eastAsia" w:ascii="楷体" w:hAnsi="楷体" w:eastAsia="楷体" w:cs="楷体"/>
          <w:b/>
          <w:bCs/>
          <w:sz w:val="32"/>
          <w:szCs w:val="32"/>
          <w:lang w:val="en-US" w:eastAsia="zh-CN"/>
        </w:rPr>
        <w:t xml:space="preserve">  </w:t>
      </w:r>
      <w:r>
        <w:rPr>
          <w:rFonts w:hint="eastAsia" w:ascii="楷体" w:hAnsi="楷体" w:eastAsia="楷体" w:cs="楷体"/>
          <w:b/>
          <w:bCs/>
          <w:sz w:val="32"/>
          <w:szCs w:val="32"/>
          <w:lang w:eastAsia="zh-CN"/>
        </w:rPr>
        <w:t>（二）一般公共预算</w:t>
      </w:r>
      <w:r>
        <w:rPr>
          <w:rFonts w:hint="eastAsia" w:ascii="楷体" w:hAnsi="楷体" w:eastAsia="楷体" w:cs="楷体"/>
          <w:b/>
          <w:bCs/>
          <w:sz w:val="32"/>
          <w:szCs w:val="32"/>
        </w:rPr>
        <w:t>财政拨款“三公”经费支出决算具体情况说明。</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2020年度</w:t>
      </w:r>
      <w:r>
        <w:rPr>
          <w:rFonts w:hint="eastAsia" w:ascii="仿宋_GB2312" w:hAnsi="ˎ̥" w:eastAsia="仿宋_GB2312"/>
          <w:sz w:val="32"/>
          <w:szCs w:val="32"/>
          <w:lang w:val="en-US" w:eastAsia="zh-CN"/>
        </w:rPr>
        <w:t>一般公共预算财政拨款</w:t>
      </w:r>
      <w:r>
        <w:rPr>
          <w:rFonts w:hint="eastAsia" w:ascii="仿宋_GB2312" w:hAnsi="ˎ̥" w:eastAsia="仿宋_GB2312"/>
          <w:sz w:val="32"/>
          <w:szCs w:val="32"/>
        </w:rPr>
        <w:t>“三公”经费支出决算中，因公出国（境）费支出决算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万元；公务用车购置及运行费支出决算</w:t>
      </w:r>
      <w:r>
        <w:rPr>
          <w:rFonts w:hint="eastAsia" w:ascii="仿宋_GB2312" w:hAnsi="ˎ̥" w:eastAsia="仿宋_GB2312"/>
          <w:sz w:val="32"/>
          <w:szCs w:val="32"/>
          <w:lang w:val="en-US" w:eastAsia="zh-CN"/>
        </w:rPr>
        <w:t>21.18</w:t>
      </w:r>
      <w:r>
        <w:rPr>
          <w:rFonts w:hint="eastAsia" w:ascii="仿宋_GB2312" w:hAnsi="ˎ̥" w:eastAsia="仿宋_GB2312"/>
          <w:sz w:val="32"/>
          <w:szCs w:val="32"/>
        </w:rPr>
        <w:t>万元，占</w:t>
      </w:r>
      <w:r>
        <w:rPr>
          <w:rFonts w:hint="eastAsia" w:ascii="仿宋_GB2312" w:hAnsi="ˎ̥" w:eastAsia="仿宋_GB2312"/>
          <w:sz w:val="32"/>
          <w:szCs w:val="32"/>
          <w:lang w:val="en-US" w:eastAsia="zh-CN"/>
        </w:rPr>
        <w:t>90.44</w:t>
      </w:r>
      <w:r>
        <w:rPr>
          <w:rFonts w:hint="eastAsia" w:ascii="仿宋_GB2312" w:hAnsi="ˎ̥" w:eastAsia="仿宋_GB2312"/>
          <w:sz w:val="32"/>
          <w:szCs w:val="32"/>
        </w:rPr>
        <w:t>%；公务接待费支出决算</w:t>
      </w:r>
      <w:r>
        <w:rPr>
          <w:rFonts w:hint="eastAsia" w:ascii="仿宋_GB2312" w:hAnsi="ˎ̥" w:eastAsia="仿宋_GB2312"/>
          <w:sz w:val="32"/>
          <w:szCs w:val="32"/>
          <w:lang w:val="en-US" w:eastAsia="zh-CN"/>
        </w:rPr>
        <w:t>2.24</w:t>
      </w:r>
      <w:r>
        <w:rPr>
          <w:rFonts w:hint="eastAsia" w:ascii="仿宋_GB2312" w:hAnsi="ˎ̥" w:eastAsia="仿宋_GB2312"/>
          <w:sz w:val="32"/>
          <w:szCs w:val="32"/>
        </w:rPr>
        <w:t>万元，占</w:t>
      </w:r>
      <w:r>
        <w:rPr>
          <w:rFonts w:hint="eastAsia" w:ascii="仿宋_GB2312" w:hAnsi="ˎ̥" w:eastAsia="仿宋_GB2312"/>
          <w:sz w:val="32"/>
          <w:szCs w:val="32"/>
          <w:lang w:val="en-US" w:eastAsia="zh-CN"/>
        </w:rPr>
        <w:t>9.56</w:t>
      </w:r>
      <w:r>
        <w:rPr>
          <w:rFonts w:hint="eastAsia" w:ascii="仿宋_GB2312" w:hAnsi="ˎ̥" w:eastAsia="仿宋_GB2312"/>
          <w:sz w:val="32"/>
          <w:szCs w:val="32"/>
        </w:rPr>
        <w:t>%。具体情况如下：</w:t>
      </w:r>
    </w:p>
    <w:p>
      <w:pPr>
        <w:ind w:firstLine="643" w:firstLineChars="200"/>
        <w:rPr>
          <w:rFonts w:hint="eastAsia" w:ascii="仿宋_GB2312" w:hAnsi="ˎ̥" w:eastAsia="仿宋_GB2312"/>
          <w:sz w:val="32"/>
          <w:szCs w:val="32"/>
          <w:lang w:val="en-US" w:eastAsia="zh-CN"/>
        </w:rPr>
      </w:pPr>
      <w:r>
        <w:rPr>
          <w:rFonts w:hint="eastAsia" w:ascii="仿宋_GB2312" w:hAnsi="ˎ̥" w:eastAsia="仿宋_GB2312"/>
          <w:b/>
          <w:sz w:val="32"/>
          <w:szCs w:val="32"/>
          <w:lang w:val="en-US" w:eastAsia="zh-CN"/>
        </w:rPr>
        <w:t>1.</w:t>
      </w:r>
      <w:r>
        <w:rPr>
          <w:rFonts w:hint="eastAsia" w:ascii="仿宋_GB2312" w:hAnsi="ˎ̥" w:eastAsia="仿宋_GB2312"/>
          <w:b/>
          <w:sz w:val="32"/>
          <w:szCs w:val="32"/>
        </w:rPr>
        <w:t>因公出国（境）费</w:t>
      </w:r>
      <w:r>
        <w:rPr>
          <w:rFonts w:hint="eastAsia" w:ascii="仿宋_GB2312" w:hAnsi="ˎ̥" w:eastAsia="仿宋_GB2312"/>
          <w:sz w:val="32"/>
          <w:szCs w:val="32"/>
        </w:rPr>
        <w:t>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万元。全年</w:t>
      </w:r>
      <w:r>
        <w:rPr>
          <w:rFonts w:hint="eastAsia" w:ascii="仿宋_GB2312" w:hAnsi="ˎ̥" w:eastAsia="仿宋_GB2312"/>
          <w:sz w:val="32"/>
          <w:szCs w:val="32"/>
          <w:lang w:eastAsia="zh-CN"/>
        </w:rPr>
        <w:t>未</w:t>
      </w:r>
      <w:r>
        <w:rPr>
          <w:rFonts w:hint="eastAsia" w:ascii="仿宋_GB2312" w:hAnsi="ˎ̥" w:eastAsia="仿宋_GB2312"/>
          <w:sz w:val="32"/>
          <w:szCs w:val="32"/>
        </w:rPr>
        <w:t>安排因公出国（境）团组</w:t>
      </w:r>
      <w:r>
        <w:rPr>
          <w:rFonts w:hint="eastAsia" w:ascii="仿宋_GB2312" w:hAnsi="ˎ̥" w:eastAsia="仿宋_GB2312"/>
          <w:sz w:val="32"/>
          <w:szCs w:val="32"/>
          <w:lang w:val="en-US" w:eastAsia="zh-CN"/>
        </w:rPr>
        <w:t>。</w:t>
      </w:r>
    </w:p>
    <w:p>
      <w:pPr>
        <w:numPr>
          <w:ilvl w:val="0"/>
          <w:numId w:val="0"/>
        </w:numPr>
        <w:ind w:left="642" w:leftChars="0"/>
        <w:rPr>
          <w:rFonts w:hint="eastAsia" w:ascii="仿宋_GB2312" w:hAnsi="ˎ̥" w:eastAsia="仿宋_GB2312"/>
          <w:sz w:val="32"/>
          <w:szCs w:val="32"/>
        </w:rPr>
      </w:pPr>
      <w:r>
        <w:rPr>
          <w:rFonts w:hint="eastAsia" w:ascii="仿宋_GB2312" w:hAnsi="ˎ̥" w:eastAsia="仿宋_GB2312"/>
          <w:b/>
          <w:sz w:val="32"/>
          <w:szCs w:val="32"/>
          <w:lang w:val="en-US" w:eastAsia="zh-CN"/>
        </w:rPr>
        <w:t>2.</w:t>
      </w:r>
      <w:r>
        <w:rPr>
          <w:rFonts w:hint="eastAsia" w:ascii="仿宋_GB2312" w:hAnsi="ˎ̥" w:eastAsia="仿宋_GB2312"/>
          <w:b/>
          <w:sz w:val="32"/>
          <w:szCs w:val="32"/>
        </w:rPr>
        <w:t>公务用车购置及运行费支出</w:t>
      </w:r>
      <w:r>
        <w:rPr>
          <w:rFonts w:hint="eastAsia" w:ascii="仿宋_GB2312" w:hAnsi="ˎ̥" w:eastAsia="仿宋_GB2312"/>
          <w:sz w:val="32"/>
          <w:szCs w:val="32"/>
          <w:lang w:val="en-US" w:eastAsia="zh-CN"/>
        </w:rPr>
        <w:t>21.18</w:t>
      </w:r>
      <w:r>
        <w:rPr>
          <w:rFonts w:hint="eastAsia" w:ascii="仿宋_GB2312" w:hAnsi="ˎ̥" w:eastAsia="仿宋_GB2312"/>
          <w:sz w:val="32"/>
          <w:szCs w:val="32"/>
        </w:rPr>
        <w:t>万元。其中：</w:t>
      </w:r>
    </w:p>
    <w:p>
      <w:pPr>
        <w:numPr>
          <w:ilvl w:val="0"/>
          <w:numId w:val="0"/>
        </w:numPr>
        <w:ind w:firstLine="643" w:firstLineChars="200"/>
        <w:rPr>
          <w:rFonts w:hint="eastAsia" w:ascii="仿宋_GB2312" w:hAnsi="ˎ̥" w:eastAsia="仿宋_GB2312"/>
          <w:sz w:val="32"/>
          <w:szCs w:val="32"/>
        </w:rPr>
      </w:pPr>
      <w:r>
        <w:rPr>
          <w:rFonts w:hint="eastAsia" w:ascii="仿宋_GB2312" w:hAnsi="ˎ̥" w:eastAsia="仿宋_GB2312"/>
          <w:b/>
          <w:sz w:val="32"/>
          <w:szCs w:val="32"/>
        </w:rPr>
        <w:t>公务用车购置支出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年末公务用车保有量</w:t>
      </w:r>
      <w:r>
        <w:rPr>
          <w:rFonts w:hint="eastAsia" w:ascii="仿宋_GB2312" w:hAnsi="ˎ̥" w:eastAsia="仿宋_GB2312"/>
          <w:sz w:val="32"/>
          <w:szCs w:val="32"/>
          <w:lang w:val="en-US" w:eastAsia="zh-CN"/>
        </w:rPr>
        <w:t>9</w:t>
      </w:r>
      <w:r>
        <w:rPr>
          <w:rFonts w:hint="eastAsia" w:ascii="仿宋_GB2312" w:hAnsi="ˎ̥" w:eastAsia="仿宋_GB2312"/>
          <w:sz w:val="32"/>
          <w:szCs w:val="32"/>
        </w:rPr>
        <w:t>辆。</w:t>
      </w:r>
    </w:p>
    <w:p>
      <w:pPr>
        <w:numPr>
          <w:ilvl w:val="0"/>
          <w:numId w:val="0"/>
        </w:numPr>
        <w:ind w:firstLine="643" w:firstLineChars="200"/>
        <w:rPr>
          <w:rFonts w:hint="eastAsia" w:ascii="仿宋_GB2312" w:hAnsi="ˎ̥" w:eastAsia="仿宋_GB2312"/>
          <w:sz w:val="32"/>
          <w:szCs w:val="32"/>
        </w:rPr>
      </w:pPr>
      <w:r>
        <w:rPr>
          <w:rFonts w:hint="eastAsia" w:ascii="仿宋_GB2312" w:hAnsi="ˎ̥" w:eastAsia="仿宋_GB2312"/>
          <w:b/>
          <w:sz w:val="32"/>
          <w:szCs w:val="32"/>
        </w:rPr>
        <w:t>公务用车运行</w:t>
      </w:r>
      <w:r>
        <w:rPr>
          <w:rFonts w:hint="eastAsia" w:ascii="仿宋_GB2312" w:hAnsi="ˎ̥" w:eastAsia="仿宋_GB2312"/>
          <w:b/>
          <w:sz w:val="32"/>
          <w:szCs w:val="32"/>
          <w:lang w:eastAsia="zh-CN"/>
        </w:rPr>
        <w:t>维护费</w:t>
      </w:r>
      <w:r>
        <w:rPr>
          <w:rFonts w:hint="eastAsia" w:ascii="仿宋_GB2312" w:hAnsi="ˎ̥" w:eastAsia="仿宋_GB2312"/>
          <w:sz w:val="32"/>
          <w:szCs w:val="32"/>
        </w:rPr>
        <w:t>支出</w:t>
      </w:r>
      <w:r>
        <w:rPr>
          <w:rFonts w:hint="eastAsia" w:ascii="仿宋_GB2312" w:hAnsi="ˎ̥" w:eastAsia="仿宋_GB2312"/>
          <w:sz w:val="32"/>
          <w:szCs w:val="32"/>
          <w:lang w:val="en-US" w:eastAsia="zh-CN"/>
        </w:rPr>
        <w:t>21.18</w:t>
      </w:r>
      <w:r>
        <w:rPr>
          <w:rFonts w:hint="eastAsia" w:ascii="仿宋_GB2312" w:hAnsi="ˎ̥" w:eastAsia="仿宋_GB2312"/>
          <w:sz w:val="32"/>
          <w:szCs w:val="32"/>
        </w:rPr>
        <w:t>万元，</w:t>
      </w:r>
      <w:r>
        <w:rPr>
          <w:rFonts w:hint="eastAsia" w:ascii="仿宋_GB2312" w:hAnsi="仿宋_GB2312" w:eastAsia="仿宋_GB2312" w:cs="仿宋_GB2312"/>
          <w:sz w:val="32"/>
          <w:szCs w:val="32"/>
        </w:rPr>
        <w:t>主要用于车辆燃</w:t>
      </w:r>
      <w:r>
        <w:rPr>
          <w:rFonts w:hint="eastAsia" w:ascii="仿宋_GB2312" w:hAnsi="仿宋_GB2312" w:eastAsia="仿宋_GB2312" w:cs="仿宋_GB2312"/>
          <w:sz w:val="32"/>
          <w:szCs w:val="32"/>
          <w:lang w:eastAsia="zh-CN"/>
        </w:rPr>
        <w:t>油</w:t>
      </w:r>
      <w:r>
        <w:rPr>
          <w:rFonts w:hint="eastAsia" w:ascii="仿宋_GB2312" w:hAnsi="仿宋_GB2312" w:eastAsia="仿宋_GB2312" w:cs="仿宋_GB2312"/>
          <w:sz w:val="32"/>
          <w:szCs w:val="32"/>
        </w:rPr>
        <w:t>费、维修费、保险费、</w:t>
      </w:r>
      <w:r>
        <w:rPr>
          <w:rFonts w:hint="eastAsia" w:ascii="仿宋_GB2312" w:hAnsi="仿宋_GB2312" w:eastAsia="仿宋_GB2312" w:cs="仿宋_GB2312"/>
          <w:sz w:val="32"/>
          <w:szCs w:val="32"/>
          <w:lang w:eastAsia="zh-CN"/>
        </w:rPr>
        <w:t>洗车费、</w:t>
      </w:r>
      <w:r>
        <w:rPr>
          <w:rFonts w:hint="eastAsia" w:ascii="仿宋_GB2312" w:hAnsi="仿宋_GB2312" w:eastAsia="仿宋_GB2312" w:cs="仿宋_GB2312"/>
          <w:sz w:val="32"/>
          <w:szCs w:val="32"/>
        </w:rPr>
        <w:t>审验费等项目</w:t>
      </w:r>
      <w:r>
        <w:rPr>
          <w:rFonts w:hint="eastAsia" w:ascii="仿宋_GB2312" w:hAnsi="ˎ̥" w:eastAsia="仿宋_GB2312"/>
          <w:sz w:val="32"/>
          <w:szCs w:val="32"/>
        </w:rPr>
        <w:t>。</w:t>
      </w:r>
    </w:p>
    <w:p>
      <w:pPr>
        <w:numPr>
          <w:ilvl w:val="0"/>
          <w:numId w:val="0"/>
        </w:numPr>
        <w:ind w:firstLine="640" w:firstLineChars="200"/>
        <w:rPr>
          <w:rFonts w:hint="eastAsia" w:ascii="仿宋_GB2312" w:hAnsi="ˎ̥" w:eastAsia="仿宋_GB2312"/>
          <w:b w:val="0"/>
          <w:bCs/>
          <w:sz w:val="32"/>
          <w:szCs w:val="32"/>
          <w:lang w:val="en-US" w:eastAsia="zh-CN"/>
        </w:rPr>
      </w:pPr>
      <w:r>
        <w:rPr>
          <w:rFonts w:hint="eastAsia" w:ascii="仿宋_GB2312" w:hAnsi="ˎ̥" w:eastAsia="仿宋_GB2312"/>
          <w:b w:val="0"/>
          <w:bCs/>
          <w:sz w:val="32"/>
          <w:szCs w:val="32"/>
        </w:rPr>
        <w:t>公务用车购置及运行费支出</w:t>
      </w:r>
      <w:r>
        <w:rPr>
          <w:rFonts w:hint="eastAsia" w:ascii="仿宋_GB2312" w:hAnsi="ˎ̥" w:eastAsia="仿宋_GB2312"/>
          <w:b w:val="0"/>
          <w:bCs/>
          <w:sz w:val="32"/>
          <w:szCs w:val="32"/>
          <w:lang w:val="en-US" w:eastAsia="zh-CN"/>
        </w:rPr>
        <w:t>决算数</w:t>
      </w:r>
      <w:r>
        <w:rPr>
          <w:rFonts w:hint="eastAsia" w:ascii="仿宋_GB2312" w:hAnsi="ˎ̥" w:eastAsia="仿宋_GB2312"/>
          <w:sz w:val="32"/>
          <w:szCs w:val="32"/>
          <w:lang w:val="en-US" w:eastAsia="zh-CN"/>
        </w:rPr>
        <w:t>比预算数减少6.82万元，下降24.36%。主要原因是</w:t>
      </w:r>
      <w:r>
        <w:rPr>
          <w:rFonts w:hint="eastAsia" w:ascii="仿宋_GB2312" w:hAnsi="仿宋_GB2312" w:eastAsia="仿宋_GB2312" w:cs="仿宋_GB2312"/>
          <w:color w:val="000000"/>
          <w:sz w:val="32"/>
          <w:szCs w:val="32"/>
        </w:rPr>
        <w:t>加强公务用车管理，</w:t>
      </w:r>
      <w:r>
        <w:rPr>
          <w:rFonts w:hint="eastAsia" w:ascii="仿宋_GB2312" w:hAnsi="仿宋_GB2312" w:eastAsia="仿宋_GB2312" w:cs="仿宋_GB2312"/>
          <w:color w:val="000000"/>
          <w:sz w:val="32"/>
          <w:szCs w:val="32"/>
          <w:lang w:eastAsia="zh-CN"/>
        </w:rPr>
        <w:t>厉行节约，</w:t>
      </w:r>
      <w:r>
        <w:rPr>
          <w:rFonts w:hint="eastAsia" w:ascii="仿宋_GB2312" w:hAnsi="仿宋_GB2312" w:eastAsia="仿宋_GB2312" w:cs="仿宋_GB2312"/>
          <w:color w:val="000000"/>
          <w:sz w:val="32"/>
          <w:szCs w:val="32"/>
        </w:rPr>
        <w:t>鼓励单位人员出差使用公共交通工具出行，车辆运行维护费</w:t>
      </w:r>
      <w:r>
        <w:rPr>
          <w:rFonts w:hint="eastAsia" w:ascii="仿宋_GB2312" w:hAnsi="仿宋_GB2312" w:eastAsia="仿宋_GB2312" w:cs="仿宋_GB2312"/>
          <w:color w:val="000000"/>
          <w:sz w:val="32"/>
          <w:szCs w:val="32"/>
          <w:lang w:eastAsia="zh-CN"/>
        </w:rPr>
        <w:t>较上年</w:t>
      </w:r>
      <w:r>
        <w:rPr>
          <w:rFonts w:hint="eastAsia" w:ascii="仿宋_GB2312" w:hAnsi="仿宋_GB2312" w:eastAsia="仿宋_GB2312" w:cs="仿宋_GB2312"/>
          <w:color w:val="000000"/>
          <w:sz w:val="32"/>
          <w:szCs w:val="32"/>
        </w:rPr>
        <w:t>减少</w:t>
      </w:r>
      <w:r>
        <w:rPr>
          <w:rFonts w:hint="eastAsia" w:ascii="仿宋_GB2312" w:hAnsi="仿宋_GB2312" w:eastAsia="仿宋_GB2312" w:cs="仿宋_GB2312"/>
          <w:color w:val="000000"/>
          <w:sz w:val="32"/>
          <w:szCs w:val="32"/>
          <w:lang w:eastAsia="zh-CN"/>
        </w:rPr>
        <w:t>。</w:t>
      </w:r>
    </w:p>
    <w:p>
      <w:pPr>
        <w:numPr>
          <w:ilvl w:val="0"/>
          <w:numId w:val="0"/>
        </w:numPr>
        <w:ind w:left="0" w:leftChars="0" w:firstLine="0" w:firstLineChars="0"/>
        <w:rPr>
          <w:rFonts w:hint="eastAsia" w:ascii="仿宋_GB2312" w:hAnsi="ˎ̥" w:eastAsia="仿宋_GB2312"/>
          <w:sz w:val="32"/>
          <w:szCs w:val="32"/>
          <w:lang w:val="en-US" w:eastAsia="zh-CN"/>
        </w:rPr>
      </w:pPr>
      <w:r>
        <w:rPr>
          <w:rFonts w:hint="eastAsia" w:ascii="仿宋_GB2312" w:hAnsi="ˎ̥" w:eastAsia="仿宋_GB2312"/>
          <w:b/>
          <w:sz w:val="32"/>
          <w:szCs w:val="32"/>
          <w:lang w:val="en-US" w:eastAsia="zh-CN"/>
        </w:rPr>
        <w:t xml:space="preserve">    3.</w:t>
      </w:r>
      <w:r>
        <w:rPr>
          <w:rFonts w:hint="eastAsia" w:ascii="仿宋_GB2312" w:hAnsi="ˎ̥" w:eastAsia="仿宋_GB2312"/>
          <w:b/>
          <w:sz w:val="32"/>
          <w:szCs w:val="32"/>
        </w:rPr>
        <w:t>公务接待费支出</w:t>
      </w:r>
      <w:r>
        <w:rPr>
          <w:rFonts w:hint="eastAsia" w:ascii="仿宋_GB2312" w:hAnsi="ˎ̥" w:eastAsia="仿宋_GB2312"/>
          <w:sz w:val="32"/>
          <w:szCs w:val="32"/>
          <w:lang w:val="en-US" w:eastAsia="zh-CN"/>
        </w:rPr>
        <w:t>2.24</w:t>
      </w:r>
      <w:r>
        <w:rPr>
          <w:rFonts w:hint="eastAsia" w:ascii="仿宋_GB2312" w:hAnsi="ˎ̥" w:eastAsia="仿宋_GB2312"/>
          <w:sz w:val="32"/>
          <w:szCs w:val="32"/>
        </w:rPr>
        <w:t>万元，</w:t>
      </w:r>
      <w:r>
        <w:rPr>
          <w:rFonts w:hint="eastAsia" w:ascii="仿宋_GB2312" w:hAnsi="ˎ̥" w:eastAsia="仿宋_GB2312"/>
          <w:sz w:val="32"/>
          <w:szCs w:val="32"/>
          <w:lang w:val="en-US" w:eastAsia="zh-CN"/>
        </w:rPr>
        <w:t>其中：</w:t>
      </w:r>
    </w:p>
    <w:p>
      <w:pPr>
        <w:numPr>
          <w:ilvl w:val="0"/>
          <w:numId w:val="0"/>
        </w:numPr>
        <w:ind w:left="0" w:leftChars="0" w:firstLine="643" w:firstLineChars="200"/>
        <w:rPr>
          <w:rFonts w:hint="eastAsia" w:ascii="仿宋_GB2312" w:hAnsi="ˎ̥" w:eastAsia="仿宋_GB2312"/>
          <w:sz w:val="32"/>
          <w:szCs w:val="32"/>
        </w:rPr>
      </w:pPr>
      <w:r>
        <w:rPr>
          <w:rFonts w:hint="eastAsia" w:ascii="仿宋_GB2312" w:hAnsi="ˎ̥" w:eastAsia="仿宋_GB2312"/>
          <w:b/>
          <w:sz w:val="32"/>
          <w:szCs w:val="32"/>
          <w:lang w:eastAsia="zh-CN"/>
        </w:rPr>
        <w:t>国内接待费</w:t>
      </w:r>
      <w:r>
        <w:rPr>
          <w:rFonts w:hint="eastAsia" w:ascii="仿宋_GB2312" w:hAnsi="ˎ̥" w:eastAsia="仿宋_GB2312"/>
          <w:sz w:val="32"/>
          <w:szCs w:val="32"/>
        </w:rPr>
        <w:t>支出</w:t>
      </w:r>
      <w:r>
        <w:rPr>
          <w:rFonts w:hint="eastAsia" w:ascii="仿宋_GB2312" w:hAnsi="ˎ̥" w:eastAsia="仿宋_GB2312"/>
          <w:sz w:val="32"/>
          <w:szCs w:val="32"/>
          <w:highlight w:val="none"/>
          <w:lang w:val="en-US" w:eastAsia="zh-CN"/>
        </w:rPr>
        <w:t>2.24</w:t>
      </w:r>
      <w:r>
        <w:rPr>
          <w:rFonts w:hint="eastAsia" w:ascii="仿宋_GB2312" w:hAnsi="ˎ̥" w:eastAsia="仿宋_GB2312"/>
          <w:sz w:val="32"/>
          <w:szCs w:val="32"/>
        </w:rPr>
        <w:t>万元，</w:t>
      </w:r>
      <w:r>
        <w:rPr>
          <w:rFonts w:hint="eastAsia" w:ascii="仿宋_GB2312" w:hAnsi="ˎ̥" w:eastAsia="仿宋_GB2312"/>
          <w:sz w:val="32"/>
          <w:szCs w:val="32"/>
          <w:lang w:eastAsia="zh-CN"/>
        </w:rPr>
        <w:t>国内公务接待</w:t>
      </w:r>
      <w:r>
        <w:rPr>
          <w:rFonts w:hint="eastAsia" w:ascii="仿宋_GB2312" w:hAnsi="ˎ̥" w:eastAsia="仿宋_GB2312"/>
          <w:sz w:val="32"/>
          <w:szCs w:val="32"/>
          <w:highlight w:val="none"/>
          <w:lang w:val="en-US" w:eastAsia="zh-CN"/>
        </w:rPr>
        <w:t>224</w:t>
      </w:r>
      <w:r>
        <w:rPr>
          <w:rFonts w:hint="eastAsia" w:ascii="仿宋_GB2312" w:hAnsi="ˎ̥" w:eastAsia="仿宋_GB2312"/>
          <w:sz w:val="32"/>
          <w:szCs w:val="32"/>
          <w:lang w:eastAsia="zh-CN"/>
        </w:rPr>
        <w:t>人次，</w:t>
      </w:r>
      <w:r>
        <w:rPr>
          <w:rFonts w:hint="eastAsia" w:ascii="仿宋_GB2312" w:hAnsi="仿宋_GB2312" w:eastAsia="仿宋_GB2312" w:cs="仿宋_GB2312"/>
          <w:sz w:val="32"/>
          <w:szCs w:val="32"/>
        </w:rPr>
        <w:t>主要用于上级院</w:t>
      </w:r>
      <w:r>
        <w:rPr>
          <w:rFonts w:hint="eastAsia" w:ascii="仿宋_GB2312" w:hAnsi="仿宋_GB2312" w:eastAsia="仿宋_GB2312" w:cs="仿宋_GB2312"/>
          <w:sz w:val="32"/>
          <w:szCs w:val="32"/>
          <w:lang w:eastAsia="zh-CN"/>
        </w:rPr>
        <w:t>和其他市县</w:t>
      </w:r>
      <w:r>
        <w:rPr>
          <w:rFonts w:hint="eastAsia" w:ascii="仿宋_GB2312" w:hAnsi="仿宋_GB2312" w:eastAsia="仿宋_GB2312" w:cs="仿宋_GB2312"/>
          <w:sz w:val="32"/>
          <w:szCs w:val="32"/>
        </w:rPr>
        <w:t>检察院交流学习的接待费。</w:t>
      </w:r>
    </w:p>
    <w:p>
      <w:pPr>
        <w:numPr>
          <w:ilvl w:val="0"/>
          <w:numId w:val="0"/>
        </w:numPr>
        <w:ind w:left="0" w:leftChars="0"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highlight w:val="none"/>
          <w:lang w:val="en-US" w:eastAsia="zh-CN"/>
        </w:rPr>
        <w:t>公务接待费支出决算数比预算数减少4.76万元，下降68%。主要原因是</w:t>
      </w:r>
      <w:r>
        <w:rPr>
          <w:rFonts w:hint="eastAsia" w:ascii="仿宋_GB2312" w:hAnsi="仿宋_GB2312" w:eastAsia="仿宋_GB2312" w:cs="仿宋_GB2312"/>
          <w:color w:val="000000"/>
          <w:sz w:val="32"/>
          <w:szCs w:val="32"/>
          <w:lang w:eastAsia="zh-CN"/>
        </w:rPr>
        <w:t>严格落实中央“八项规定”</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接待从俭</w:t>
      </w:r>
      <w:r>
        <w:rPr>
          <w:rFonts w:hint="eastAsia" w:ascii="仿宋_GB2312" w:hAnsi="仿宋_GB2312" w:eastAsia="仿宋_GB2312" w:cs="仿宋_GB2312"/>
          <w:color w:val="000000"/>
          <w:sz w:val="32"/>
          <w:szCs w:val="32"/>
        </w:rPr>
        <w:t>。</w:t>
      </w:r>
    </w:p>
    <w:p>
      <w:pPr>
        <w:ind w:firstLine="627" w:firstLineChars="196"/>
        <w:rPr>
          <w:rFonts w:hint="eastAsia" w:ascii="仿宋_GB2312" w:hAnsi="ˎ̥" w:eastAsia="楷体_GB2312"/>
          <w:sz w:val="32"/>
          <w:szCs w:val="32"/>
          <w:lang w:eastAsia="zh-CN"/>
        </w:rPr>
      </w:pPr>
      <w:r>
        <w:rPr>
          <w:rFonts w:hint="eastAsia" w:ascii="黑体" w:hAnsi="黑体" w:eastAsia="黑体" w:cs="黑体"/>
          <w:bCs/>
          <w:sz w:val="32"/>
          <w:szCs w:val="32"/>
          <w:lang w:val="en-US" w:eastAsia="zh-CN"/>
        </w:rPr>
        <w:t>十、</w:t>
      </w:r>
      <w:r>
        <w:rPr>
          <w:rFonts w:hint="eastAsia" w:ascii="黑体" w:hAnsi="黑体" w:eastAsia="黑体" w:cs="黑体"/>
          <w:b w:val="0"/>
          <w:bCs/>
          <w:sz w:val="32"/>
          <w:szCs w:val="32"/>
          <w:lang w:eastAsia="zh-CN"/>
        </w:rPr>
        <w:t>政府性基金</w:t>
      </w:r>
      <w:r>
        <w:rPr>
          <w:rFonts w:hint="eastAsia" w:ascii="黑体" w:hAnsi="黑体" w:eastAsia="黑体" w:cs="黑体"/>
          <w:b w:val="0"/>
          <w:bCs/>
          <w:sz w:val="32"/>
          <w:szCs w:val="32"/>
        </w:rPr>
        <w:t>预算财政拨款“三公”经费支出决算情况说明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万宁市人民检察院没有政府性基金预算财政拨款“三公”经费支出。</w:t>
      </w:r>
    </w:p>
    <w:p>
      <w:pPr>
        <w:ind w:firstLine="627" w:firstLineChars="196"/>
        <w:rPr>
          <w:rFonts w:hint="eastAsia" w:ascii="仿宋_GB2312" w:hAnsi="ˎ̥" w:eastAsia="楷体_GB2312"/>
          <w:sz w:val="32"/>
          <w:szCs w:val="32"/>
          <w:lang w:eastAsia="zh-CN"/>
        </w:rPr>
      </w:pPr>
      <w:r>
        <w:rPr>
          <w:rFonts w:hint="eastAsia" w:ascii="黑体" w:hAnsi="黑体" w:eastAsia="黑体" w:cs="黑体"/>
          <w:bCs/>
          <w:sz w:val="32"/>
          <w:szCs w:val="32"/>
          <w:lang w:val="en-US" w:eastAsia="zh-CN"/>
        </w:rPr>
        <w:t>十一、</w:t>
      </w:r>
      <w:r>
        <w:rPr>
          <w:rFonts w:hint="eastAsia" w:ascii="黑体" w:hAnsi="黑体" w:eastAsia="黑体" w:cs="黑体"/>
          <w:b w:val="0"/>
          <w:bCs/>
          <w:sz w:val="32"/>
          <w:szCs w:val="32"/>
          <w:lang w:eastAsia="zh-CN"/>
        </w:rPr>
        <w:t>国有资本经营</w:t>
      </w:r>
      <w:r>
        <w:rPr>
          <w:rFonts w:hint="eastAsia" w:ascii="黑体" w:hAnsi="黑体" w:eastAsia="黑体" w:cs="黑体"/>
          <w:b w:val="0"/>
          <w:bCs/>
          <w:sz w:val="32"/>
          <w:szCs w:val="32"/>
        </w:rPr>
        <w:t>预算财政拨款“三公”经费支出决算情况说明</w:t>
      </w:r>
    </w:p>
    <w:p>
      <w:pPr>
        <w:numPr>
          <w:ilvl w:val="0"/>
          <w:numId w:val="0"/>
        </w:num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万宁市人民检察院没有</w:t>
      </w:r>
      <w:r>
        <w:rPr>
          <w:rFonts w:hint="eastAsia" w:ascii="仿宋_GB2312" w:hAnsi="仿宋_GB2312" w:eastAsia="仿宋_GB2312" w:cs="仿宋_GB2312"/>
          <w:sz w:val="32"/>
          <w:szCs w:val="32"/>
          <w:lang w:eastAsia="zh-CN"/>
        </w:rPr>
        <w:t>国有资本经营</w:t>
      </w:r>
      <w:r>
        <w:rPr>
          <w:rFonts w:hint="eastAsia" w:ascii="仿宋_GB2312" w:hAnsi="仿宋_GB2312" w:eastAsia="仿宋_GB2312" w:cs="仿宋_GB2312"/>
          <w:sz w:val="32"/>
          <w:szCs w:val="32"/>
        </w:rPr>
        <w:t>预算财政拨款“三公”经费支出。</w:t>
      </w:r>
    </w:p>
    <w:p>
      <w:pPr>
        <w:ind w:firstLine="640" w:firstLineChars="200"/>
        <w:rPr>
          <w:rFonts w:hint="eastAsia" w:ascii="黑体" w:hAnsi="黑体" w:eastAsia="黑体" w:cs="黑体"/>
          <w:b w:val="0"/>
          <w:bCs/>
          <w:sz w:val="32"/>
          <w:szCs w:val="32"/>
          <w:lang w:eastAsia="zh-CN"/>
        </w:rPr>
      </w:pPr>
    </w:p>
    <w:p>
      <w:pPr>
        <w:ind w:firstLine="640" w:firstLineChars="200"/>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十二、</w:t>
      </w:r>
      <w:r>
        <w:rPr>
          <w:rFonts w:hint="eastAsia" w:ascii="黑体" w:hAnsi="黑体" w:eastAsia="黑体" w:cs="黑体"/>
          <w:b w:val="0"/>
          <w:bCs/>
          <w:sz w:val="32"/>
          <w:szCs w:val="32"/>
        </w:rPr>
        <w:t>预算绩效情况说明</w:t>
      </w:r>
      <w:r>
        <w:rPr>
          <w:rFonts w:hint="eastAsia" w:ascii="黑体" w:hAnsi="黑体" w:eastAsia="黑体" w:cs="黑体"/>
          <w:b w:val="0"/>
          <w:bCs/>
          <w:sz w:val="32"/>
          <w:szCs w:val="32"/>
          <w:lang w:eastAsia="zh-CN"/>
        </w:rPr>
        <w:t>。</w:t>
      </w:r>
    </w:p>
    <w:p>
      <w:pPr>
        <w:spacing w:line="578" w:lineRule="exact"/>
        <w:ind w:firstLine="643" w:firstLineChars="200"/>
        <w:rPr>
          <w:rFonts w:hint="eastAsia" w:ascii="楷体" w:hAnsi="楷体" w:eastAsia="楷体" w:cs="楷体"/>
          <w:b/>
          <w:sz w:val="32"/>
          <w:szCs w:val="32"/>
        </w:rPr>
      </w:pPr>
      <w:r>
        <w:rPr>
          <w:rFonts w:hint="eastAsia" w:ascii="楷体" w:hAnsi="楷体" w:eastAsia="楷体" w:cs="楷体"/>
          <w:b/>
          <w:sz w:val="32"/>
          <w:szCs w:val="32"/>
          <w:lang w:eastAsia="zh-CN"/>
        </w:rPr>
        <w:t>（一）</w:t>
      </w:r>
      <w:r>
        <w:rPr>
          <w:rFonts w:hint="eastAsia" w:ascii="楷体" w:hAnsi="楷体" w:eastAsia="楷体" w:cs="楷体"/>
          <w:b/>
          <w:sz w:val="32"/>
          <w:szCs w:val="32"/>
        </w:rPr>
        <w:t>绩效管理工作开展情况。</w:t>
      </w:r>
    </w:p>
    <w:p>
      <w:pPr>
        <w:spacing w:line="578" w:lineRule="exact"/>
        <w:ind w:firstLine="640" w:firstLineChars="200"/>
        <w:rPr>
          <w:rFonts w:hint="eastAsia" w:ascii="仿宋_GB2312" w:eastAsia="仿宋_GB2312"/>
          <w:sz w:val="32"/>
          <w:szCs w:val="32"/>
        </w:rPr>
      </w:pPr>
      <w:r>
        <w:rPr>
          <w:rFonts w:hint="eastAsia" w:ascii="仿宋_GB2312" w:eastAsia="仿宋_GB2312"/>
          <w:sz w:val="32"/>
          <w:szCs w:val="32"/>
        </w:rPr>
        <w:t>根据财政预算管理要求，</w:t>
      </w:r>
      <w:r>
        <w:rPr>
          <w:rFonts w:hint="eastAsia" w:ascii="仿宋_GB2312" w:hAnsi="仿宋_GB2312" w:eastAsia="仿宋_GB2312" w:cs="仿宋_GB2312"/>
          <w:sz w:val="32"/>
          <w:szCs w:val="32"/>
        </w:rPr>
        <w:t>万宁市人民检察院</w:t>
      </w:r>
      <w:r>
        <w:rPr>
          <w:rFonts w:hint="eastAsia" w:ascii="仿宋_GB2312" w:eastAsia="仿宋_GB2312"/>
          <w:sz w:val="32"/>
          <w:szCs w:val="32"/>
        </w:rPr>
        <w:t>组织对</w:t>
      </w:r>
      <w:r>
        <w:rPr>
          <w:rFonts w:hint="eastAsia" w:ascii="仿宋_GB2312" w:eastAsia="仿宋_GB2312"/>
          <w:sz w:val="32"/>
          <w:szCs w:val="32"/>
          <w:lang w:eastAsia="zh-CN"/>
        </w:rPr>
        <w:t>2020年度</w:t>
      </w:r>
      <w:r>
        <w:rPr>
          <w:rFonts w:hint="eastAsia" w:ascii="仿宋_GB2312" w:eastAsia="仿宋_GB2312"/>
          <w:sz w:val="32"/>
          <w:szCs w:val="32"/>
        </w:rPr>
        <w:t>一般公共预算项目支出全面开展绩效自评。自评项目</w:t>
      </w:r>
      <w:r>
        <w:rPr>
          <w:rFonts w:hint="eastAsia" w:ascii="仿宋_GB2312" w:eastAsia="仿宋_GB2312"/>
          <w:sz w:val="32"/>
          <w:szCs w:val="32"/>
          <w:lang w:val="en-US" w:eastAsia="zh-CN"/>
        </w:rPr>
        <w:t>1</w:t>
      </w:r>
      <w:r>
        <w:rPr>
          <w:rFonts w:hint="eastAsia" w:ascii="仿宋_GB2312" w:eastAsia="仿宋_GB2312"/>
          <w:sz w:val="32"/>
          <w:szCs w:val="32"/>
        </w:rPr>
        <w:t>个，共涉及资金</w:t>
      </w:r>
      <w:r>
        <w:rPr>
          <w:rFonts w:hint="eastAsia" w:ascii="仿宋_GB2312" w:eastAsia="仿宋_GB2312"/>
          <w:sz w:val="32"/>
          <w:szCs w:val="32"/>
          <w:lang w:val="en-US" w:eastAsia="zh-CN"/>
        </w:rPr>
        <w:t>209</w:t>
      </w:r>
      <w:r>
        <w:rPr>
          <w:rFonts w:hint="eastAsia" w:ascii="仿宋_GB2312" w:eastAsia="仿宋_GB2312"/>
          <w:sz w:val="32"/>
          <w:szCs w:val="32"/>
        </w:rPr>
        <w:t>万元，自评覆盖率达到</w:t>
      </w:r>
      <w:r>
        <w:rPr>
          <w:rFonts w:hint="eastAsia" w:ascii="仿宋_GB2312" w:eastAsia="仿宋_GB2312"/>
          <w:sz w:val="32"/>
          <w:szCs w:val="32"/>
          <w:lang w:val="en-US" w:eastAsia="zh-CN"/>
        </w:rPr>
        <w:t>41.3</w:t>
      </w:r>
      <w:r>
        <w:rPr>
          <w:rFonts w:hint="eastAsia" w:ascii="仿宋_GB2312" w:eastAsia="仿宋_GB2312"/>
          <w:sz w:val="32"/>
          <w:szCs w:val="32"/>
        </w:rPr>
        <w:t>%。</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万宁市人民检察院共组织对“</w:t>
      </w:r>
      <w:r>
        <w:rPr>
          <w:rFonts w:hint="eastAsia" w:ascii="仿宋_GB2312" w:hAnsi="仿宋_GB2312" w:eastAsia="仿宋_GB2312" w:cs="仿宋_GB2312"/>
          <w:sz w:val="32"/>
          <w:szCs w:val="32"/>
          <w:lang w:eastAsia="zh-CN"/>
        </w:rPr>
        <w:t>聘用制书记员管理</w:t>
      </w:r>
      <w:r>
        <w:rPr>
          <w:rFonts w:hint="eastAsia" w:ascii="仿宋_GB2312" w:hAnsi="仿宋_GB2312" w:eastAsia="仿宋_GB2312" w:cs="仿宋_GB2312"/>
          <w:sz w:val="32"/>
          <w:szCs w:val="32"/>
        </w:rPr>
        <w:t>”等1个项目进行了重点绩效评价，涉及资金</w:t>
      </w:r>
      <w:r>
        <w:rPr>
          <w:rFonts w:hint="eastAsia" w:ascii="仿宋_GB2312" w:hAnsi="仿宋_GB2312" w:eastAsia="仿宋_GB2312" w:cs="仿宋_GB2312"/>
          <w:sz w:val="32"/>
          <w:szCs w:val="32"/>
          <w:lang w:val="en-US" w:eastAsia="zh-CN"/>
        </w:rPr>
        <w:t>209</w:t>
      </w:r>
      <w:r>
        <w:rPr>
          <w:rFonts w:hint="eastAsia" w:ascii="仿宋_GB2312" w:hAnsi="仿宋_GB2312" w:eastAsia="仿宋_GB2312" w:cs="仿宋_GB2312"/>
          <w:sz w:val="32"/>
          <w:szCs w:val="32"/>
        </w:rPr>
        <w:t>万元。从评价情况来看，项目目标明确，机构是健全、分工明确</w:t>
      </w:r>
      <w:bookmarkStart w:id="84" w:name="_Toc7773"/>
      <w:bookmarkStart w:id="85" w:name="_Toc30691"/>
      <w:r>
        <w:rPr>
          <w:rFonts w:hint="eastAsia" w:ascii="仿宋_GB2312" w:hAnsi="仿宋_GB2312" w:eastAsia="仿宋_GB2312" w:cs="仿宋_GB2312"/>
          <w:sz w:val="32"/>
          <w:szCs w:val="32"/>
        </w:rPr>
        <w:t>，项目管理按相关政策规定执行，支付手续齐全</w:t>
      </w:r>
      <w:bookmarkEnd w:id="84"/>
      <w:bookmarkEnd w:id="85"/>
      <w:bookmarkStart w:id="86" w:name="_Toc27939"/>
      <w:bookmarkStart w:id="87" w:name="_Toc9737"/>
      <w:r>
        <w:rPr>
          <w:rFonts w:hint="eastAsia" w:ascii="仿宋_GB2312" w:hAnsi="仿宋_GB2312" w:eastAsia="仿宋_GB2312" w:cs="仿宋_GB2312"/>
          <w:sz w:val="32"/>
          <w:szCs w:val="32"/>
        </w:rPr>
        <w:t>，项目资金到位及时，</w:t>
      </w:r>
      <w:bookmarkEnd w:id="86"/>
      <w:bookmarkEnd w:id="87"/>
      <w:r>
        <w:rPr>
          <w:rFonts w:hint="eastAsia" w:ascii="仿宋_GB2312" w:hAnsi="仿宋_GB2312" w:eastAsia="仿宋_GB2312" w:cs="仿宋_GB2312"/>
          <w:color w:val="000000"/>
          <w:sz w:val="32"/>
          <w:szCs w:val="32"/>
        </w:rPr>
        <w:t>项目的产出基本达到目标，项目绩效基本实现</w:t>
      </w:r>
      <w:r>
        <w:rPr>
          <w:rFonts w:hint="eastAsia" w:ascii="仿宋_GB2312" w:hAnsi="仿宋_GB2312" w:eastAsia="仿宋_GB2312" w:cs="仿宋_GB2312"/>
          <w:sz w:val="32"/>
          <w:szCs w:val="32"/>
        </w:rPr>
        <w:t>。</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万宁市人民检察院开展整体支出绩效评价，涉及资金</w:t>
      </w:r>
      <w:r>
        <w:rPr>
          <w:rFonts w:hint="eastAsia" w:ascii="仿宋_GB2312" w:hAnsi="仿宋_GB2312" w:eastAsia="仿宋_GB2312" w:cs="仿宋_GB2312"/>
          <w:sz w:val="32"/>
          <w:szCs w:val="32"/>
          <w:lang w:val="en-US" w:eastAsia="zh-CN"/>
        </w:rPr>
        <w:t>506</w:t>
      </w:r>
      <w:r>
        <w:rPr>
          <w:rFonts w:hint="eastAsia" w:ascii="仿宋_GB2312" w:hAnsi="仿宋_GB2312" w:eastAsia="仿宋_GB2312" w:cs="仿宋_GB2312"/>
          <w:sz w:val="32"/>
          <w:szCs w:val="32"/>
        </w:rPr>
        <w:t>万元。从评价情况来看，各</w:t>
      </w:r>
      <w:r>
        <w:rPr>
          <w:rFonts w:hint="eastAsia" w:ascii="仿宋_GB2312" w:hAnsi="仿宋_GB2312" w:eastAsia="仿宋_GB2312" w:cs="仿宋_GB2312"/>
          <w:color w:val="000000"/>
          <w:sz w:val="32"/>
          <w:szCs w:val="32"/>
        </w:rPr>
        <w:t>项目资金到位及时，资金使用按预算（计划）执行，各项目组织实施和管理基本有效，各项目的产出基本达到目标，部门整体支出绩效基本实现</w:t>
      </w:r>
      <w:r>
        <w:rPr>
          <w:rFonts w:hint="eastAsia" w:ascii="仿宋_GB2312" w:hAnsi="仿宋_GB2312" w:eastAsia="仿宋_GB2312" w:cs="仿宋_GB2312"/>
          <w:sz w:val="32"/>
          <w:szCs w:val="32"/>
        </w:rPr>
        <w:t>。</w:t>
      </w:r>
    </w:p>
    <w:p>
      <w:pPr>
        <w:spacing w:line="578" w:lineRule="exact"/>
        <w:ind w:firstLine="643" w:firstLineChars="200"/>
        <w:rPr>
          <w:rFonts w:hint="default" w:ascii="楷体" w:hAnsi="楷体" w:eastAsia="楷体" w:cs="楷体"/>
          <w:b/>
          <w:sz w:val="32"/>
          <w:szCs w:val="32"/>
          <w:lang w:val="en-US" w:eastAsia="zh-CN"/>
        </w:rPr>
      </w:pPr>
      <w:r>
        <w:rPr>
          <w:rFonts w:hint="eastAsia" w:ascii="楷体" w:hAnsi="楷体" w:eastAsia="楷体" w:cs="楷体"/>
          <w:b/>
          <w:sz w:val="32"/>
          <w:szCs w:val="32"/>
          <w:lang w:eastAsia="zh-CN"/>
        </w:rPr>
        <w:t>（二）</w:t>
      </w:r>
      <w:r>
        <w:rPr>
          <w:rFonts w:hint="eastAsia" w:ascii="楷体" w:hAnsi="楷体" w:eastAsia="楷体" w:cs="楷体"/>
          <w:b/>
          <w:sz w:val="32"/>
          <w:szCs w:val="32"/>
        </w:rPr>
        <w:t>部门决算中项目绩效自评结果。</w:t>
      </w:r>
    </w:p>
    <w:p>
      <w:pPr>
        <w:spacing w:line="520" w:lineRule="exact"/>
        <w:ind w:firstLine="640" w:firstLineChars="200"/>
        <w:outlineLvl w:val="0"/>
        <w:rPr>
          <w:rFonts w:hint="eastAsia" w:ascii="仿宋_GB2312" w:hAnsi="仿宋_GB2312" w:eastAsia="仿宋_GB2312" w:cs="仿宋_GB2312"/>
          <w:sz w:val="32"/>
        </w:rPr>
      </w:pPr>
      <w:r>
        <w:rPr>
          <w:rFonts w:hint="eastAsia" w:ascii="仿宋_GB2312" w:hAnsi="仿宋_GB2312" w:eastAsia="仿宋_GB2312" w:cs="仿宋_GB2312"/>
          <w:sz w:val="32"/>
          <w:szCs w:val="32"/>
        </w:rPr>
        <w:t>聘用制书记员</w:t>
      </w:r>
      <w:r>
        <w:rPr>
          <w:rFonts w:hint="eastAsia" w:ascii="仿宋_GB2312" w:hAnsi="仿宋_GB2312" w:eastAsia="仿宋_GB2312" w:cs="仿宋_GB2312"/>
          <w:sz w:val="32"/>
          <w:szCs w:val="32"/>
          <w:lang w:eastAsia="zh-CN"/>
        </w:rPr>
        <w:t>管理</w:t>
      </w:r>
      <w:r>
        <w:rPr>
          <w:rFonts w:hint="eastAsia" w:ascii="仿宋_GB2312" w:hAnsi="仿宋_GB2312" w:eastAsia="仿宋_GB2312" w:cs="仿宋_GB2312"/>
          <w:sz w:val="32"/>
          <w:szCs w:val="32"/>
        </w:rPr>
        <w:t>项目自评得分为</w:t>
      </w:r>
      <w:r>
        <w:rPr>
          <w:rFonts w:hint="eastAsia" w:ascii="仿宋_GB2312" w:hAnsi="仿宋_GB2312" w:eastAsia="仿宋_GB2312" w:cs="仿宋_GB2312"/>
          <w:sz w:val="32"/>
          <w:szCs w:val="32"/>
          <w:lang w:val="en-US" w:eastAsia="zh-CN"/>
        </w:rPr>
        <w:t>89.5</w:t>
      </w:r>
      <w:r>
        <w:rPr>
          <w:rFonts w:hint="eastAsia" w:ascii="仿宋_GB2312" w:hAnsi="仿宋_GB2312" w:eastAsia="仿宋_GB2312" w:cs="仿宋_GB2312"/>
          <w:sz w:val="32"/>
          <w:szCs w:val="32"/>
        </w:rPr>
        <w:t>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项目绩效发现的主要问题</w:t>
      </w:r>
      <w:r>
        <w:rPr>
          <w:rFonts w:hint="eastAsia" w:ascii="仿宋_GB2312" w:hAnsi="仿宋_GB2312" w:eastAsia="仿宋_GB2312" w:cs="仿宋_GB2312"/>
          <w:sz w:val="32"/>
          <w:szCs w:val="32"/>
          <w:lang w:eastAsia="zh-CN"/>
        </w:rPr>
        <w:t>及对策</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一是</w:t>
      </w:r>
      <w:r>
        <w:rPr>
          <w:rFonts w:hint="eastAsia" w:ascii="仿宋_GB2312" w:hAnsi="仿宋_GB2312" w:eastAsia="仿宋_GB2312" w:cs="仿宋_GB2312"/>
          <w:sz w:val="32"/>
          <w:szCs w:val="32"/>
        </w:rPr>
        <w:t>聘用制书记员业务能力与</w:t>
      </w:r>
      <w:r>
        <w:rPr>
          <w:rFonts w:hint="eastAsia" w:ascii="仿宋_GB2312" w:hAnsi="仿宋_GB2312" w:eastAsia="仿宋_GB2312" w:cs="仿宋_GB2312"/>
          <w:sz w:val="32"/>
          <w:szCs w:val="32"/>
          <w:lang w:eastAsia="zh-CN"/>
        </w:rPr>
        <w:t>实际</w:t>
      </w:r>
      <w:r>
        <w:rPr>
          <w:rFonts w:hint="eastAsia" w:ascii="仿宋_GB2312" w:hAnsi="仿宋_GB2312" w:eastAsia="仿宋_GB2312" w:cs="仿宋_GB2312"/>
          <w:sz w:val="32"/>
          <w:szCs w:val="32"/>
        </w:rPr>
        <w:t>业务工作需求存在一定差距，法律</w:t>
      </w:r>
      <w:r>
        <w:rPr>
          <w:rFonts w:hint="eastAsia" w:ascii="仿宋_GB2312" w:hAnsi="仿宋_GB2312" w:eastAsia="仿宋_GB2312" w:cs="仿宋_GB2312"/>
          <w:sz w:val="32"/>
          <w:szCs w:val="32"/>
          <w:lang w:eastAsia="zh-CN"/>
        </w:rPr>
        <w:t>专业</w:t>
      </w:r>
      <w:r>
        <w:rPr>
          <w:rFonts w:hint="eastAsia" w:ascii="仿宋_GB2312" w:hAnsi="仿宋_GB2312" w:eastAsia="仿宋_GB2312" w:cs="仿宋_GB2312"/>
          <w:sz w:val="32"/>
          <w:szCs w:val="32"/>
        </w:rPr>
        <w:t>知识、</w:t>
      </w:r>
      <w:r>
        <w:rPr>
          <w:rFonts w:hint="eastAsia" w:ascii="仿宋_GB2312" w:hAnsi="仿宋_GB2312" w:eastAsia="仿宋_GB2312" w:cs="仿宋_GB2312"/>
          <w:sz w:val="32"/>
          <w:szCs w:val="32"/>
          <w:lang w:eastAsia="zh-CN"/>
        </w:rPr>
        <w:t>提审</w:t>
      </w:r>
      <w:r>
        <w:rPr>
          <w:rFonts w:hint="eastAsia" w:ascii="仿宋_GB2312" w:hAnsi="仿宋_GB2312" w:eastAsia="仿宋_GB2312" w:cs="仿宋_GB2312"/>
          <w:sz w:val="32"/>
          <w:szCs w:val="32"/>
        </w:rPr>
        <w:t>笔录制作等还须进一步提高。</w:t>
      </w:r>
      <w:r>
        <w:rPr>
          <w:rFonts w:hint="eastAsia" w:ascii="仿宋_GB2312" w:hAnsi="仿宋_GB2312" w:eastAsia="仿宋_GB2312" w:cs="仿宋_GB2312"/>
          <w:sz w:val="32"/>
          <w:szCs w:val="32"/>
          <w:lang w:eastAsia="zh-CN"/>
        </w:rPr>
        <w:t>应</w:t>
      </w:r>
      <w:r>
        <w:rPr>
          <w:rFonts w:hint="eastAsia" w:ascii="仿宋_GB2312" w:hAnsi="仿宋_GB2312" w:eastAsia="仿宋_GB2312" w:cs="仿宋_GB2312"/>
          <w:sz w:val="32"/>
          <w:szCs w:val="32"/>
        </w:rPr>
        <w:t>加强聘用制书记员队伍专业化建设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通过实行定期考核制度，建立有效的奖惩机制。</w:t>
      </w:r>
      <w:r>
        <w:rPr>
          <w:rFonts w:hint="eastAsia" w:ascii="仿宋_GB2312" w:hAnsi="仿宋_GB2312" w:eastAsia="仿宋_GB2312" w:cs="仿宋_GB2312"/>
          <w:sz w:val="32"/>
          <w:szCs w:val="32"/>
          <w:lang w:eastAsia="zh-CN"/>
        </w:rPr>
        <w:t>二是项目预算编制不够科学。应加强培训，提高项目预算编制的科学性。</w:t>
      </w:r>
    </w:p>
    <w:p>
      <w:pPr>
        <w:ind w:firstLine="640" w:firstLineChars="200"/>
        <w:rPr>
          <w:rFonts w:hint="eastAsia" w:ascii="仿宋_GB2312" w:hAnsi="仿宋_GB2312" w:eastAsia="仿宋_GB2312" w:cs="仿宋_GB2312"/>
          <w:sz w:val="32"/>
        </w:rPr>
      </w:pPr>
    </w:p>
    <w:p>
      <w:pPr>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附评分表如下：</w:t>
      </w:r>
    </w:p>
    <w:p>
      <w:pPr>
        <w:spacing w:line="520" w:lineRule="exact"/>
        <w:ind w:firstLine="560" w:firstLineChars="200"/>
        <w:jc w:val="center"/>
        <w:rPr>
          <w:rFonts w:hint="eastAsia" w:ascii="仿宋_GB2312" w:hAnsi="宋体" w:eastAsia="仿宋_GB2312"/>
          <w:sz w:val="28"/>
          <w:szCs w:val="28"/>
        </w:rPr>
      </w:pPr>
    </w:p>
    <w:p>
      <w:pPr>
        <w:spacing w:line="520" w:lineRule="exact"/>
        <w:jc w:val="both"/>
        <w:rPr>
          <w:rFonts w:hint="eastAsia" w:ascii="仿宋_GB2312" w:hAnsi="宋体" w:eastAsia="仿宋_GB2312"/>
          <w:sz w:val="28"/>
          <w:szCs w:val="28"/>
        </w:rPr>
      </w:pPr>
    </w:p>
    <w:p>
      <w:pPr>
        <w:spacing w:line="520" w:lineRule="exact"/>
        <w:ind w:firstLine="560" w:firstLineChars="200"/>
        <w:jc w:val="center"/>
        <w:rPr>
          <w:rFonts w:hint="eastAsia" w:ascii="仿宋_GB2312" w:hAnsi="宋体" w:eastAsia="仿宋_GB2312"/>
          <w:sz w:val="28"/>
          <w:szCs w:val="28"/>
        </w:rPr>
      </w:pPr>
      <w:r>
        <w:rPr>
          <w:rFonts w:hint="eastAsia" w:ascii="仿宋_GB2312" w:hAnsi="宋体" w:eastAsia="仿宋_GB2312"/>
          <w:sz w:val="28"/>
          <w:szCs w:val="28"/>
        </w:rPr>
        <w:t>20</w:t>
      </w:r>
      <w:r>
        <w:rPr>
          <w:rFonts w:hint="eastAsia" w:ascii="仿宋_GB2312" w:hAnsi="宋体" w:eastAsia="仿宋_GB2312"/>
          <w:sz w:val="28"/>
          <w:szCs w:val="28"/>
          <w:lang w:val="en-US" w:eastAsia="zh-CN"/>
        </w:rPr>
        <w:t>20</w:t>
      </w:r>
      <w:r>
        <w:rPr>
          <w:rFonts w:hint="eastAsia" w:ascii="仿宋_GB2312" w:hAnsi="宋体" w:eastAsia="仿宋_GB2312"/>
          <w:sz w:val="28"/>
          <w:szCs w:val="28"/>
        </w:rPr>
        <w:t>年</w:t>
      </w:r>
      <w:r>
        <w:rPr>
          <w:rFonts w:hint="eastAsia" w:ascii="仿宋_GB2312" w:hAnsi="宋体" w:eastAsia="仿宋_GB2312"/>
          <w:sz w:val="28"/>
          <w:szCs w:val="28"/>
          <w:lang w:eastAsia="zh-CN"/>
        </w:rPr>
        <w:t>聘用制书记员管理</w:t>
      </w:r>
      <w:r>
        <w:rPr>
          <w:rFonts w:hint="eastAsia" w:ascii="仿宋_GB2312" w:hAnsi="宋体" w:eastAsia="仿宋_GB2312"/>
          <w:sz w:val="28"/>
          <w:szCs w:val="28"/>
        </w:rPr>
        <w:t>项目绩效评价表</w:t>
      </w:r>
    </w:p>
    <w:p>
      <w:pPr>
        <w:spacing w:line="520" w:lineRule="exact"/>
        <w:ind w:firstLine="560" w:firstLineChars="200"/>
        <w:jc w:val="center"/>
        <w:rPr>
          <w:rFonts w:hint="eastAsia" w:ascii="仿宋_GB2312" w:hAnsi="宋体" w:eastAsia="仿宋_GB2312"/>
          <w:sz w:val="28"/>
          <w:szCs w:val="28"/>
        </w:rPr>
      </w:pPr>
    </w:p>
    <w:tbl>
      <w:tblPr>
        <w:tblStyle w:val="3"/>
        <w:tblW w:w="8522" w:type="dxa"/>
        <w:tblInd w:w="0" w:type="dxa"/>
        <w:tblLayout w:type="fixed"/>
        <w:tblCellMar>
          <w:top w:w="0" w:type="dxa"/>
          <w:left w:w="108" w:type="dxa"/>
          <w:bottom w:w="0" w:type="dxa"/>
          <w:right w:w="108" w:type="dxa"/>
        </w:tblCellMar>
      </w:tblPr>
      <w:tblGrid>
        <w:gridCol w:w="890"/>
        <w:gridCol w:w="626"/>
        <w:gridCol w:w="729"/>
        <w:gridCol w:w="508"/>
        <w:gridCol w:w="847"/>
        <w:gridCol w:w="466"/>
        <w:gridCol w:w="1819"/>
        <w:gridCol w:w="1435"/>
        <w:gridCol w:w="652"/>
        <w:gridCol w:w="550"/>
      </w:tblGrid>
      <w:tr>
        <w:tblPrEx>
          <w:tblLayout w:type="fixed"/>
          <w:tblCellMar>
            <w:top w:w="0" w:type="dxa"/>
            <w:left w:w="108" w:type="dxa"/>
            <w:bottom w:w="0" w:type="dxa"/>
            <w:right w:w="108" w:type="dxa"/>
          </w:tblCellMar>
        </w:tblPrEx>
        <w:trPr>
          <w:trHeight w:val="402" w:hRule="atLeast"/>
        </w:trPr>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宋体" w:hAnsi="宋体" w:cs="宋体"/>
                <w:b/>
                <w:bCs/>
                <w:kern w:val="0"/>
                <w:sz w:val="16"/>
                <w:szCs w:val="16"/>
              </w:rPr>
            </w:pPr>
            <w:r>
              <w:rPr>
                <w:rFonts w:hint="eastAsia" w:ascii="宋体" w:hAnsi="宋体" w:cs="宋体"/>
                <w:b/>
                <w:bCs/>
                <w:kern w:val="0"/>
                <w:sz w:val="16"/>
                <w:szCs w:val="16"/>
              </w:rPr>
              <w:t>一级指标</w:t>
            </w:r>
          </w:p>
        </w:tc>
        <w:tc>
          <w:tcPr>
            <w:tcW w:w="626"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ascii="宋体" w:hAnsi="宋体" w:cs="宋体"/>
                <w:b/>
                <w:bCs/>
                <w:kern w:val="0"/>
                <w:sz w:val="16"/>
                <w:szCs w:val="16"/>
              </w:rPr>
            </w:pPr>
            <w:r>
              <w:rPr>
                <w:rFonts w:hint="eastAsia" w:ascii="宋体" w:hAnsi="宋体" w:cs="宋体"/>
                <w:b/>
                <w:bCs/>
                <w:kern w:val="0"/>
                <w:sz w:val="16"/>
                <w:szCs w:val="16"/>
              </w:rPr>
              <w:t>分值</w:t>
            </w:r>
          </w:p>
        </w:tc>
        <w:tc>
          <w:tcPr>
            <w:tcW w:w="729"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ascii="宋体" w:hAnsi="宋体" w:cs="宋体"/>
                <w:b/>
                <w:bCs/>
                <w:kern w:val="0"/>
                <w:sz w:val="16"/>
                <w:szCs w:val="16"/>
              </w:rPr>
            </w:pPr>
            <w:r>
              <w:rPr>
                <w:rFonts w:hint="eastAsia" w:ascii="宋体" w:hAnsi="宋体" w:cs="宋体"/>
                <w:b/>
                <w:bCs/>
                <w:kern w:val="0"/>
                <w:sz w:val="16"/>
                <w:szCs w:val="16"/>
              </w:rPr>
              <w:t>二级指标</w:t>
            </w:r>
          </w:p>
        </w:tc>
        <w:tc>
          <w:tcPr>
            <w:tcW w:w="508"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ascii="宋体" w:hAnsi="宋体" w:cs="宋体"/>
                <w:b/>
                <w:bCs/>
                <w:kern w:val="0"/>
                <w:sz w:val="16"/>
                <w:szCs w:val="16"/>
              </w:rPr>
            </w:pPr>
            <w:r>
              <w:rPr>
                <w:rFonts w:hint="eastAsia" w:ascii="宋体" w:hAnsi="宋体" w:cs="宋体"/>
                <w:b/>
                <w:bCs/>
                <w:kern w:val="0"/>
                <w:sz w:val="16"/>
                <w:szCs w:val="16"/>
              </w:rPr>
              <w:t>分值</w:t>
            </w:r>
          </w:p>
        </w:tc>
        <w:tc>
          <w:tcPr>
            <w:tcW w:w="847"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ascii="宋体" w:hAnsi="宋体" w:cs="宋体"/>
                <w:b/>
                <w:bCs/>
                <w:kern w:val="0"/>
                <w:sz w:val="16"/>
                <w:szCs w:val="16"/>
              </w:rPr>
            </w:pPr>
            <w:r>
              <w:rPr>
                <w:rFonts w:hint="eastAsia" w:ascii="宋体" w:hAnsi="宋体" w:cs="宋体"/>
                <w:b/>
                <w:bCs/>
                <w:kern w:val="0"/>
                <w:sz w:val="16"/>
                <w:szCs w:val="16"/>
              </w:rPr>
              <w:t>三级指标</w:t>
            </w:r>
          </w:p>
        </w:tc>
        <w:tc>
          <w:tcPr>
            <w:tcW w:w="466"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ascii="宋体" w:hAnsi="宋体" w:cs="宋体"/>
                <w:b/>
                <w:bCs/>
                <w:kern w:val="0"/>
                <w:sz w:val="16"/>
                <w:szCs w:val="16"/>
              </w:rPr>
            </w:pPr>
            <w:r>
              <w:rPr>
                <w:rFonts w:hint="eastAsia" w:ascii="宋体" w:hAnsi="宋体" w:cs="宋体"/>
                <w:b/>
                <w:bCs/>
                <w:kern w:val="0"/>
                <w:sz w:val="16"/>
                <w:szCs w:val="16"/>
              </w:rPr>
              <w:t>分值</w:t>
            </w:r>
          </w:p>
        </w:tc>
        <w:tc>
          <w:tcPr>
            <w:tcW w:w="1819"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ascii="宋体" w:hAnsi="宋体" w:cs="宋体"/>
                <w:b/>
                <w:bCs/>
                <w:kern w:val="0"/>
                <w:sz w:val="16"/>
                <w:szCs w:val="16"/>
              </w:rPr>
            </w:pPr>
            <w:r>
              <w:rPr>
                <w:rFonts w:hint="eastAsia" w:ascii="宋体" w:hAnsi="宋体" w:cs="宋体"/>
                <w:b/>
                <w:bCs/>
                <w:kern w:val="0"/>
                <w:sz w:val="16"/>
                <w:szCs w:val="16"/>
              </w:rPr>
              <w:t>指标解释</w:t>
            </w:r>
          </w:p>
        </w:tc>
        <w:tc>
          <w:tcPr>
            <w:tcW w:w="1435"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ascii="宋体" w:hAnsi="宋体" w:cs="宋体"/>
                <w:b/>
                <w:bCs/>
                <w:kern w:val="0"/>
                <w:sz w:val="16"/>
                <w:szCs w:val="16"/>
              </w:rPr>
            </w:pPr>
            <w:r>
              <w:rPr>
                <w:rFonts w:hint="eastAsia" w:ascii="宋体" w:hAnsi="宋体" w:cs="宋体"/>
                <w:b/>
                <w:bCs/>
                <w:kern w:val="0"/>
                <w:sz w:val="16"/>
                <w:szCs w:val="16"/>
              </w:rPr>
              <w:t>评价内容及指标</w:t>
            </w:r>
          </w:p>
        </w:tc>
        <w:tc>
          <w:tcPr>
            <w:tcW w:w="652"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ascii="宋体" w:hAnsi="宋体" w:cs="宋体"/>
                <w:b/>
                <w:bCs/>
                <w:kern w:val="0"/>
                <w:sz w:val="16"/>
                <w:szCs w:val="16"/>
              </w:rPr>
            </w:pPr>
            <w:r>
              <w:rPr>
                <w:rFonts w:hint="eastAsia" w:ascii="宋体" w:hAnsi="宋体" w:cs="宋体"/>
                <w:b/>
                <w:bCs/>
                <w:kern w:val="0"/>
                <w:sz w:val="16"/>
                <w:szCs w:val="16"/>
              </w:rPr>
              <w:t>分值</w:t>
            </w:r>
          </w:p>
        </w:tc>
        <w:tc>
          <w:tcPr>
            <w:tcW w:w="550"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ascii="宋体" w:hAnsi="宋体" w:cs="宋体"/>
                <w:b/>
                <w:bCs/>
                <w:kern w:val="0"/>
                <w:sz w:val="16"/>
                <w:szCs w:val="16"/>
              </w:rPr>
            </w:pPr>
            <w:r>
              <w:rPr>
                <w:rFonts w:hint="eastAsia" w:ascii="宋体" w:hAnsi="宋体" w:cs="宋体"/>
                <w:b/>
                <w:bCs/>
                <w:kern w:val="0"/>
                <w:sz w:val="16"/>
                <w:szCs w:val="16"/>
              </w:rPr>
              <w:t>实际得分</w:t>
            </w:r>
          </w:p>
        </w:tc>
      </w:tr>
      <w:tr>
        <w:tblPrEx>
          <w:tblLayout w:type="fixed"/>
          <w:tblCellMar>
            <w:top w:w="0" w:type="dxa"/>
            <w:left w:w="108" w:type="dxa"/>
            <w:bottom w:w="0" w:type="dxa"/>
            <w:right w:w="108" w:type="dxa"/>
          </w:tblCellMar>
        </w:tblPrEx>
        <w:trPr>
          <w:trHeight w:val="1062" w:hRule="atLeast"/>
        </w:trPr>
        <w:tc>
          <w:tcPr>
            <w:tcW w:w="890" w:type="dxa"/>
            <w:vMerge w:val="restart"/>
            <w:tcBorders>
              <w:top w:val="single" w:color="auto" w:sz="4" w:space="0"/>
              <w:left w:val="single" w:color="auto" w:sz="4" w:space="0"/>
              <w:right w:val="single" w:color="auto" w:sz="4" w:space="0"/>
            </w:tcBorders>
            <w:noWrap w:val="0"/>
            <w:vAlign w:val="center"/>
          </w:tcPr>
          <w:p>
            <w:pPr>
              <w:spacing w:line="220" w:lineRule="exact"/>
              <w:jc w:val="center"/>
              <w:rPr>
                <w:rFonts w:ascii="宋体" w:hAnsi="宋体" w:cs="宋体"/>
                <w:b/>
                <w:bCs/>
                <w:kern w:val="0"/>
                <w:sz w:val="16"/>
                <w:szCs w:val="16"/>
              </w:rPr>
            </w:pPr>
            <w:r>
              <w:rPr>
                <w:rFonts w:hint="eastAsia" w:ascii="宋体" w:hAnsi="宋体" w:cs="宋体"/>
                <w:kern w:val="0"/>
                <w:sz w:val="16"/>
                <w:szCs w:val="16"/>
              </w:rPr>
              <w:t>项目决策</w:t>
            </w:r>
          </w:p>
        </w:tc>
        <w:tc>
          <w:tcPr>
            <w:tcW w:w="626" w:type="dxa"/>
            <w:vMerge w:val="restart"/>
            <w:tcBorders>
              <w:top w:val="single" w:color="auto" w:sz="4" w:space="0"/>
              <w:left w:val="nil"/>
              <w:right w:val="single" w:color="auto" w:sz="4" w:space="0"/>
            </w:tcBorders>
            <w:noWrap w:val="0"/>
            <w:vAlign w:val="center"/>
          </w:tcPr>
          <w:p>
            <w:pPr>
              <w:spacing w:line="220" w:lineRule="exact"/>
              <w:jc w:val="center"/>
              <w:rPr>
                <w:rFonts w:ascii="宋体" w:hAnsi="宋体" w:cs="宋体"/>
                <w:b/>
                <w:bCs/>
                <w:kern w:val="0"/>
                <w:sz w:val="16"/>
                <w:szCs w:val="16"/>
              </w:rPr>
            </w:pPr>
            <w:r>
              <w:rPr>
                <w:rFonts w:hint="eastAsia" w:ascii="宋体" w:hAnsi="宋体" w:cs="宋体"/>
                <w:kern w:val="0"/>
                <w:sz w:val="16"/>
                <w:szCs w:val="16"/>
              </w:rPr>
              <w:t xml:space="preserve">20 </w:t>
            </w:r>
          </w:p>
        </w:tc>
        <w:tc>
          <w:tcPr>
            <w:tcW w:w="729"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left"/>
              <w:rPr>
                <w:rFonts w:ascii="宋体" w:hAnsi="宋体" w:cs="宋体"/>
                <w:b/>
                <w:bCs/>
                <w:kern w:val="0"/>
                <w:sz w:val="16"/>
                <w:szCs w:val="16"/>
              </w:rPr>
            </w:pPr>
            <w:r>
              <w:rPr>
                <w:rFonts w:hint="eastAsia" w:ascii="宋体" w:hAnsi="宋体" w:cs="宋体"/>
                <w:kern w:val="0"/>
                <w:sz w:val="16"/>
                <w:szCs w:val="16"/>
              </w:rPr>
              <w:t>项目指标</w:t>
            </w:r>
          </w:p>
        </w:tc>
        <w:tc>
          <w:tcPr>
            <w:tcW w:w="508"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宋体" w:hAnsi="宋体" w:cs="宋体"/>
                <w:b/>
                <w:bCs/>
                <w:kern w:val="0"/>
                <w:sz w:val="16"/>
                <w:szCs w:val="16"/>
              </w:rPr>
            </w:pPr>
            <w:r>
              <w:rPr>
                <w:rFonts w:hint="eastAsia" w:ascii="宋体" w:hAnsi="宋体" w:cs="宋体"/>
                <w:kern w:val="0"/>
                <w:sz w:val="16"/>
                <w:szCs w:val="16"/>
              </w:rPr>
              <w:t>4</w:t>
            </w:r>
          </w:p>
        </w:tc>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rPr>
                <w:rFonts w:ascii="宋体" w:hAnsi="宋体" w:cs="宋体"/>
                <w:b/>
                <w:bCs/>
                <w:kern w:val="0"/>
                <w:sz w:val="16"/>
                <w:szCs w:val="16"/>
              </w:rPr>
            </w:pPr>
            <w:r>
              <w:rPr>
                <w:rFonts w:hint="eastAsia" w:ascii="宋体" w:hAnsi="宋体" w:cs="宋体"/>
                <w:kern w:val="0"/>
                <w:sz w:val="16"/>
                <w:szCs w:val="16"/>
              </w:rPr>
              <w:t>公诉及监督工作</w:t>
            </w:r>
          </w:p>
        </w:tc>
        <w:tc>
          <w:tcPr>
            <w:tcW w:w="466"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宋体" w:hAnsi="宋体" w:cs="宋体"/>
                <w:kern w:val="0"/>
                <w:sz w:val="16"/>
                <w:szCs w:val="16"/>
              </w:rPr>
            </w:pPr>
            <w:r>
              <w:rPr>
                <w:rFonts w:hint="eastAsia" w:ascii="宋体" w:hAnsi="宋体" w:cs="宋体"/>
                <w:kern w:val="0"/>
                <w:sz w:val="16"/>
                <w:szCs w:val="16"/>
              </w:rPr>
              <w:t>4</w:t>
            </w:r>
          </w:p>
        </w:tc>
        <w:tc>
          <w:tcPr>
            <w:tcW w:w="1819"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rPr>
                <w:rFonts w:ascii="宋体" w:hAnsi="宋体" w:cs="宋体"/>
                <w:kern w:val="0"/>
                <w:sz w:val="16"/>
                <w:szCs w:val="16"/>
              </w:rPr>
            </w:pPr>
            <w:r>
              <w:rPr>
                <w:rFonts w:hint="eastAsia" w:ascii="宋体" w:hAnsi="宋体" w:cs="宋体"/>
                <w:kern w:val="0"/>
                <w:sz w:val="16"/>
                <w:szCs w:val="16"/>
              </w:rPr>
              <w:t>目标是否明确、细化、量化</w:t>
            </w:r>
          </w:p>
        </w:tc>
        <w:tc>
          <w:tcPr>
            <w:tcW w:w="1435"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rPr>
                <w:rFonts w:ascii="宋体" w:hAnsi="宋体" w:cs="宋体"/>
                <w:kern w:val="0"/>
                <w:sz w:val="16"/>
                <w:szCs w:val="16"/>
              </w:rPr>
            </w:pPr>
            <w:r>
              <w:rPr>
                <w:rFonts w:hint="eastAsia" w:ascii="宋体" w:hAnsi="宋体" w:cs="宋体"/>
                <w:kern w:val="0"/>
                <w:sz w:val="16"/>
                <w:szCs w:val="16"/>
              </w:rPr>
              <w:t>目标明确（1分），目标细化（1分），目标量化（2分）</w:t>
            </w:r>
          </w:p>
        </w:tc>
        <w:tc>
          <w:tcPr>
            <w:tcW w:w="652"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宋体" w:hAnsi="宋体" w:cs="宋体"/>
                <w:kern w:val="0"/>
                <w:sz w:val="16"/>
                <w:szCs w:val="16"/>
              </w:rPr>
            </w:pPr>
            <w:r>
              <w:rPr>
                <w:rFonts w:hint="eastAsia" w:ascii="宋体" w:hAnsi="宋体" w:cs="宋体"/>
                <w:kern w:val="0"/>
                <w:sz w:val="16"/>
                <w:szCs w:val="16"/>
              </w:rPr>
              <w:t>4</w:t>
            </w:r>
          </w:p>
        </w:tc>
        <w:tc>
          <w:tcPr>
            <w:tcW w:w="55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kern w:val="0"/>
                <w:sz w:val="16"/>
                <w:szCs w:val="16"/>
              </w:rPr>
            </w:pPr>
            <w:r>
              <w:rPr>
                <w:rFonts w:hint="eastAsia" w:ascii="宋体" w:hAnsi="宋体" w:cs="宋体"/>
                <w:color w:val="000000"/>
                <w:kern w:val="0"/>
                <w:sz w:val="16"/>
                <w:szCs w:val="16"/>
              </w:rPr>
              <w:t>4</w:t>
            </w:r>
          </w:p>
        </w:tc>
      </w:tr>
      <w:tr>
        <w:tblPrEx>
          <w:tblLayout w:type="fixed"/>
          <w:tblCellMar>
            <w:top w:w="0" w:type="dxa"/>
            <w:left w:w="108" w:type="dxa"/>
            <w:bottom w:w="0" w:type="dxa"/>
            <w:right w:w="108" w:type="dxa"/>
          </w:tblCellMar>
        </w:tblPrEx>
        <w:trPr>
          <w:trHeight w:val="402" w:hRule="atLeast"/>
        </w:trPr>
        <w:tc>
          <w:tcPr>
            <w:tcW w:w="890" w:type="dxa"/>
            <w:vMerge w:val="continue"/>
            <w:tcBorders>
              <w:left w:val="single" w:color="auto" w:sz="4" w:space="0"/>
              <w:right w:val="single" w:color="auto" w:sz="4" w:space="0"/>
            </w:tcBorders>
            <w:noWrap w:val="0"/>
            <w:vAlign w:val="center"/>
          </w:tcPr>
          <w:p>
            <w:pPr>
              <w:widowControl/>
              <w:spacing w:line="220" w:lineRule="exact"/>
              <w:jc w:val="left"/>
              <w:rPr>
                <w:rFonts w:ascii="宋体" w:hAnsi="宋体" w:cs="宋体"/>
                <w:kern w:val="0"/>
                <w:sz w:val="16"/>
                <w:szCs w:val="16"/>
              </w:rPr>
            </w:pPr>
          </w:p>
        </w:tc>
        <w:tc>
          <w:tcPr>
            <w:tcW w:w="626" w:type="dxa"/>
            <w:vMerge w:val="continue"/>
            <w:tcBorders>
              <w:left w:val="single" w:color="auto" w:sz="4" w:space="0"/>
              <w:right w:val="single" w:color="auto" w:sz="4" w:space="0"/>
            </w:tcBorders>
            <w:noWrap w:val="0"/>
            <w:vAlign w:val="center"/>
          </w:tcPr>
          <w:p>
            <w:pPr>
              <w:widowControl/>
              <w:spacing w:line="220" w:lineRule="exact"/>
              <w:jc w:val="left"/>
              <w:rPr>
                <w:rFonts w:ascii="宋体" w:hAnsi="宋体" w:cs="宋体"/>
                <w:kern w:val="0"/>
                <w:sz w:val="16"/>
                <w:szCs w:val="16"/>
              </w:rPr>
            </w:pPr>
          </w:p>
        </w:tc>
        <w:tc>
          <w:tcPr>
            <w:tcW w:w="72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宋体" w:hAnsi="宋体" w:cs="宋体"/>
                <w:kern w:val="0"/>
                <w:sz w:val="16"/>
                <w:szCs w:val="16"/>
              </w:rPr>
            </w:pPr>
            <w:r>
              <w:rPr>
                <w:rFonts w:hint="eastAsia" w:ascii="宋体" w:hAnsi="宋体" w:cs="宋体"/>
                <w:kern w:val="0"/>
                <w:sz w:val="16"/>
                <w:szCs w:val="16"/>
              </w:rPr>
              <w:t>决策过程</w:t>
            </w:r>
          </w:p>
        </w:tc>
        <w:tc>
          <w:tcPr>
            <w:tcW w:w="50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宋体" w:hAnsi="宋体" w:cs="宋体"/>
                <w:kern w:val="0"/>
                <w:sz w:val="16"/>
                <w:szCs w:val="16"/>
              </w:rPr>
            </w:pPr>
            <w:r>
              <w:rPr>
                <w:rFonts w:hint="eastAsia" w:ascii="宋体" w:hAnsi="宋体" w:cs="宋体"/>
                <w:kern w:val="0"/>
                <w:sz w:val="16"/>
                <w:szCs w:val="16"/>
              </w:rPr>
              <w:t>8</w:t>
            </w:r>
          </w:p>
        </w:tc>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宋体" w:hAnsi="宋体" w:cs="宋体"/>
                <w:kern w:val="0"/>
                <w:sz w:val="16"/>
                <w:szCs w:val="16"/>
              </w:rPr>
            </w:pPr>
            <w:r>
              <w:rPr>
                <w:rFonts w:hint="eastAsia" w:ascii="宋体" w:hAnsi="宋体" w:cs="宋体"/>
                <w:kern w:val="0"/>
                <w:sz w:val="16"/>
                <w:szCs w:val="16"/>
              </w:rPr>
              <w:t>决策依据</w:t>
            </w:r>
          </w:p>
        </w:tc>
        <w:tc>
          <w:tcPr>
            <w:tcW w:w="466"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宋体" w:hAnsi="宋体" w:cs="宋体"/>
                <w:kern w:val="0"/>
                <w:sz w:val="16"/>
                <w:szCs w:val="16"/>
              </w:rPr>
            </w:pPr>
            <w:r>
              <w:rPr>
                <w:rFonts w:hint="eastAsia" w:ascii="宋体" w:hAnsi="宋体" w:cs="宋体"/>
                <w:kern w:val="0"/>
                <w:sz w:val="16"/>
                <w:szCs w:val="16"/>
              </w:rPr>
              <w:t xml:space="preserve">3 </w:t>
            </w:r>
          </w:p>
        </w:tc>
        <w:tc>
          <w:tcPr>
            <w:tcW w:w="1819"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rPr>
                <w:rFonts w:ascii="宋体" w:hAnsi="宋体" w:cs="宋体"/>
                <w:kern w:val="0"/>
                <w:sz w:val="16"/>
                <w:szCs w:val="16"/>
              </w:rPr>
            </w:pPr>
            <w:r>
              <w:rPr>
                <w:rFonts w:hint="eastAsia" w:ascii="宋体" w:hAnsi="宋体" w:cs="宋体"/>
                <w:kern w:val="0"/>
                <w:sz w:val="16"/>
                <w:szCs w:val="16"/>
              </w:rPr>
              <w:t>项目是否符合经济社会发展规划和部门年度工作计划；是否根据需要制定中长期实施规划</w:t>
            </w:r>
          </w:p>
        </w:tc>
        <w:tc>
          <w:tcPr>
            <w:tcW w:w="1435"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rPr>
                <w:rFonts w:ascii="宋体" w:hAnsi="宋体" w:cs="宋体"/>
                <w:kern w:val="0"/>
                <w:sz w:val="16"/>
                <w:szCs w:val="16"/>
              </w:rPr>
            </w:pPr>
            <w:r>
              <w:rPr>
                <w:rFonts w:hint="eastAsia" w:ascii="宋体" w:hAnsi="宋体" w:cs="宋体"/>
                <w:kern w:val="0"/>
                <w:sz w:val="16"/>
                <w:szCs w:val="16"/>
              </w:rPr>
              <w:t>项目符合经济社会发展规划和部门年度工作计划（2分），根据需要制定中长期实施规划（1分）</w:t>
            </w:r>
          </w:p>
        </w:tc>
        <w:tc>
          <w:tcPr>
            <w:tcW w:w="652"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宋体" w:hAnsi="宋体" w:cs="宋体"/>
                <w:kern w:val="0"/>
                <w:sz w:val="16"/>
                <w:szCs w:val="16"/>
              </w:rPr>
            </w:pPr>
            <w:r>
              <w:rPr>
                <w:rFonts w:hint="eastAsia" w:ascii="宋体" w:hAnsi="宋体" w:cs="宋体"/>
                <w:kern w:val="0"/>
                <w:sz w:val="16"/>
                <w:szCs w:val="16"/>
              </w:rPr>
              <w:t xml:space="preserve">3 </w:t>
            </w:r>
          </w:p>
        </w:tc>
        <w:tc>
          <w:tcPr>
            <w:tcW w:w="55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kern w:val="0"/>
                <w:sz w:val="16"/>
                <w:szCs w:val="16"/>
              </w:rPr>
            </w:pPr>
            <w:r>
              <w:rPr>
                <w:rFonts w:hint="eastAsia" w:ascii="宋体" w:hAnsi="宋体" w:cs="宋体"/>
                <w:color w:val="000000"/>
                <w:kern w:val="0"/>
                <w:sz w:val="16"/>
                <w:szCs w:val="16"/>
              </w:rPr>
              <w:t>2</w:t>
            </w:r>
          </w:p>
        </w:tc>
      </w:tr>
      <w:tr>
        <w:tblPrEx>
          <w:tblLayout w:type="fixed"/>
          <w:tblCellMar>
            <w:top w:w="0" w:type="dxa"/>
            <w:left w:w="108" w:type="dxa"/>
            <w:bottom w:w="0" w:type="dxa"/>
            <w:right w:w="108" w:type="dxa"/>
          </w:tblCellMar>
        </w:tblPrEx>
        <w:trPr>
          <w:trHeight w:val="402" w:hRule="atLeast"/>
        </w:trPr>
        <w:tc>
          <w:tcPr>
            <w:tcW w:w="890" w:type="dxa"/>
            <w:vMerge w:val="continue"/>
            <w:tcBorders>
              <w:left w:val="single" w:color="auto" w:sz="4" w:space="0"/>
              <w:right w:val="single" w:color="auto" w:sz="4" w:space="0"/>
            </w:tcBorders>
            <w:noWrap w:val="0"/>
            <w:vAlign w:val="center"/>
          </w:tcPr>
          <w:p>
            <w:pPr>
              <w:widowControl/>
              <w:spacing w:line="220" w:lineRule="exact"/>
              <w:jc w:val="left"/>
              <w:rPr>
                <w:rFonts w:ascii="宋体" w:hAnsi="宋体" w:cs="宋体"/>
                <w:kern w:val="0"/>
                <w:sz w:val="16"/>
                <w:szCs w:val="16"/>
              </w:rPr>
            </w:pPr>
          </w:p>
        </w:tc>
        <w:tc>
          <w:tcPr>
            <w:tcW w:w="626" w:type="dxa"/>
            <w:vMerge w:val="continue"/>
            <w:tcBorders>
              <w:left w:val="single" w:color="auto" w:sz="4" w:space="0"/>
              <w:right w:val="single" w:color="auto" w:sz="4" w:space="0"/>
            </w:tcBorders>
            <w:noWrap w:val="0"/>
            <w:vAlign w:val="center"/>
          </w:tcPr>
          <w:p>
            <w:pPr>
              <w:widowControl/>
              <w:spacing w:line="220" w:lineRule="exact"/>
              <w:jc w:val="left"/>
              <w:rPr>
                <w:rFonts w:ascii="宋体" w:hAnsi="宋体" w:cs="宋体"/>
                <w:kern w:val="0"/>
                <w:sz w:val="16"/>
                <w:szCs w:val="16"/>
              </w:rPr>
            </w:pPr>
          </w:p>
        </w:tc>
        <w:tc>
          <w:tcPr>
            <w:tcW w:w="7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宋体" w:hAnsi="宋体" w:cs="宋体"/>
                <w:kern w:val="0"/>
                <w:sz w:val="16"/>
                <w:szCs w:val="16"/>
              </w:rPr>
            </w:pPr>
          </w:p>
        </w:tc>
        <w:tc>
          <w:tcPr>
            <w:tcW w:w="5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宋体" w:hAnsi="宋体" w:cs="宋体"/>
                <w:kern w:val="0"/>
                <w:sz w:val="16"/>
                <w:szCs w:val="16"/>
              </w:rPr>
            </w:pPr>
          </w:p>
        </w:tc>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宋体" w:hAnsi="宋体" w:cs="宋体"/>
                <w:kern w:val="0"/>
                <w:sz w:val="16"/>
                <w:szCs w:val="16"/>
              </w:rPr>
            </w:pPr>
            <w:r>
              <w:rPr>
                <w:rFonts w:hint="eastAsia" w:ascii="宋体" w:hAnsi="宋体" w:cs="宋体"/>
                <w:kern w:val="0"/>
                <w:sz w:val="16"/>
                <w:szCs w:val="16"/>
              </w:rPr>
              <w:t>决策程序</w:t>
            </w:r>
          </w:p>
        </w:tc>
        <w:tc>
          <w:tcPr>
            <w:tcW w:w="466"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宋体" w:hAnsi="宋体" w:cs="宋体"/>
                <w:kern w:val="0"/>
                <w:sz w:val="16"/>
                <w:szCs w:val="16"/>
              </w:rPr>
            </w:pPr>
            <w:r>
              <w:rPr>
                <w:rFonts w:hint="eastAsia" w:ascii="宋体" w:hAnsi="宋体" w:cs="宋体"/>
                <w:kern w:val="0"/>
                <w:sz w:val="16"/>
                <w:szCs w:val="16"/>
              </w:rPr>
              <w:t xml:space="preserve">5 </w:t>
            </w:r>
          </w:p>
        </w:tc>
        <w:tc>
          <w:tcPr>
            <w:tcW w:w="1819"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rPr>
                <w:rFonts w:ascii="宋体" w:hAnsi="宋体" w:cs="宋体"/>
                <w:kern w:val="0"/>
                <w:sz w:val="16"/>
                <w:szCs w:val="16"/>
              </w:rPr>
            </w:pPr>
            <w:r>
              <w:rPr>
                <w:rFonts w:hint="eastAsia" w:ascii="宋体" w:hAnsi="宋体" w:cs="宋体"/>
                <w:kern w:val="0"/>
                <w:sz w:val="16"/>
                <w:szCs w:val="16"/>
              </w:rPr>
              <w:t>项目是否符合申报条件；申报、批复程序是否符合相关管理办法；项目调整是否履行相应手续</w:t>
            </w:r>
          </w:p>
        </w:tc>
        <w:tc>
          <w:tcPr>
            <w:tcW w:w="1435"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rPr>
                <w:rFonts w:ascii="宋体" w:hAnsi="宋体" w:cs="宋体"/>
                <w:kern w:val="0"/>
                <w:sz w:val="16"/>
                <w:szCs w:val="16"/>
              </w:rPr>
            </w:pPr>
            <w:r>
              <w:rPr>
                <w:rFonts w:hint="eastAsia" w:ascii="宋体" w:hAnsi="宋体" w:cs="宋体"/>
                <w:kern w:val="0"/>
                <w:sz w:val="16"/>
                <w:szCs w:val="16"/>
              </w:rPr>
              <w:t>项目符合申报条件（2分），申报、批复程序符合相关管理办法（2分），项目实施调整履行相应手续（1分）</w:t>
            </w:r>
          </w:p>
        </w:tc>
        <w:tc>
          <w:tcPr>
            <w:tcW w:w="652"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宋体" w:hAnsi="宋体" w:cs="宋体"/>
                <w:kern w:val="0"/>
                <w:sz w:val="16"/>
                <w:szCs w:val="16"/>
              </w:rPr>
            </w:pPr>
            <w:r>
              <w:rPr>
                <w:rFonts w:hint="eastAsia" w:ascii="宋体" w:hAnsi="宋体" w:cs="宋体"/>
                <w:kern w:val="0"/>
                <w:sz w:val="16"/>
                <w:szCs w:val="16"/>
              </w:rPr>
              <w:t xml:space="preserve">5 </w:t>
            </w:r>
          </w:p>
        </w:tc>
        <w:tc>
          <w:tcPr>
            <w:tcW w:w="55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cs="宋体"/>
                <w:color w:val="000000"/>
                <w:kern w:val="0"/>
                <w:sz w:val="16"/>
                <w:szCs w:val="16"/>
                <w:lang w:val="en-US" w:eastAsia="zh-CN"/>
              </w:rPr>
              <w:t>5</w:t>
            </w:r>
          </w:p>
        </w:tc>
      </w:tr>
      <w:tr>
        <w:tblPrEx>
          <w:tblLayout w:type="fixed"/>
          <w:tblCellMar>
            <w:top w:w="0" w:type="dxa"/>
            <w:left w:w="108" w:type="dxa"/>
            <w:bottom w:w="0" w:type="dxa"/>
            <w:right w:w="108" w:type="dxa"/>
          </w:tblCellMar>
        </w:tblPrEx>
        <w:trPr>
          <w:trHeight w:val="402" w:hRule="atLeast"/>
        </w:trPr>
        <w:tc>
          <w:tcPr>
            <w:tcW w:w="890" w:type="dxa"/>
            <w:vMerge w:val="continue"/>
            <w:tcBorders>
              <w:left w:val="single" w:color="auto" w:sz="4" w:space="0"/>
              <w:right w:val="single" w:color="auto" w:sz="4" w:space="0"/>
            </w:tcBorders>
            <w:noWrap w:val="0"/>
            <w:vAlign w:val="center"/>
          </w:tcPr>
          <w:p>
            <w:pPr>
              <w:widowControl/>
              <w:spacing w:line="220" w:lineRule="exact"/>
              <w:jc w:val="left"/>
              <w:rPr>
                <w:rFonts w:ascii="宋体" w:hAnsi="宋体" w:cs="宋体"/>
                <w:kern w:val="0"/>
                <w:sz w:val="16"/>
                <w:szCs w:val="16"/>
              </w:rPr>
            </w:pPr>
          </w:p>
        </w:tc>
        <w:tc>
          <w:tcPr>
            <w:tcW w:w="626" w:type="dxa"/>
            <w:vMerge w:val="continue"/>
            <w:tcBorders>
              <w:left w:val="single" w:color="auto" w:sz="4" w:space="0"/>
              <w:right w:val="single" w:color="auto" w:sz="4" w:space="0"/>
            </w:tcBorders>
            <w:noWrap w:val="0"/>
            <w:vAlign w:val="center"/>
          </w:tcPr>
          <w:p>
            <w:pPr>
              <w:widowControl/>
              <w:spacing w:line="220" w:lineRule="exact"/>
              <w:jc w:val="left"/>
              <w:rPr>
                <w:rFonts w:ascii="宋体" w:hAnsi="宋体" w:cs="宋体"/>
                <w:kern w:val="0"/>
                <w:sz w:val="16"/>
                <w:szCs w:val="16"/>
              </w:rPr>
            </w:pPr>
          </w:p>
        </w:tc>
        <w:tc>
          <w:tcPr>
            <w:tcW w:w="72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宋体" w:hAnsi="宋体" w:cs="宋体"/>
                <w:kern w:val="0"/>
                <w:sz w:val="16"/>
                <w:szCs w:val="16"/>
              </w:rPr>
            </w:pPr>
            <w:r>
              <w:rPr>
                <w:rFonts w:hint="eastAsia" w:ascii="宋体" w:hAnsi="宋体" w:cs="宋体"/>
                <w:kern w:val="0"/>
                <w:sz w:val="16"/>
                <w:szCs w:val="16"/>
              </w:rPr>
              <w:t>资金分配</w:t>
            </w:r>
          </w:p>
        </w:tc>
        <w:tc>
          <w:tcPr>
            <w:tcW w:w="50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宋体" w:hAnsi="宋体" w:cs="宋体"/>
                <w:kern w:val="0"/>
                <w:sz w:val="16"/>
                <w:szCs w:val="16"/>
              </w:rPr>
            </w:pPr>
            <w:r>
              <w:rPr>
                <w:rFonts w:hint="eastAsia" w:ascii="宋体" w:hAnsi="宋体" w:cs="宋体"/>
                <w:kern w:val="0"/>
                <w:sz w:val="16"/>
                <w:szCs w:val="16"/>
              </w:rPr>
              <w:t>8</w:t>
            </w:r>
          </w:p>
        </w:tc>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宋体" w:hAnsi="宋体" w:cs="宋体"/>
                <w:kern w:val="0"/>
                <w:sz w:val="16"/>
                <w:szCs w:val="16"/>
              </w:rPr>
            </w:pPr>
            <w:r>
              <w:rPr>
                <w:rFonts w:hint="eastAsia" w:ascii="宋体" w:hAnsi="宋体" w:cs="宋体"/>
                <w:kern w:val="0"/>
                <w:sz w:val="16"/>
                <w:szCs w:val="16"/>
              </w:rPr>
              <w:t>分配办法</w:t>
            </w:r>
          </w:p>
        </w:tc>
        <w:tc>
          <w:tcPr>
            <w:tcW w:w="466"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宋体" w:hAnsi="宋体" w:cs="宋体"/>
                <w:kern w:val="0"/>
                <w:sz w:val="16"/>
                <w:szCs w:val="16"/>
              </w:rPr>
            </w:pPr>
            <w:r>
              <w:rPr>
                <w:rFonts w:hint="eastAsia" w:ascii="宋体" w:hAnsi="宋体" w:cs="宋体"/>
                <w:kern w:val="0"/>
                <w:sz w:val="16"/>
                <w:szCs w:val="16"/>
              </w:rPr>
              <w:t xml:space="preserve">2 </w:t>
            </w:r>
          </w:p>
        </w:tc>
        <w:tc>
          <w:tcPr>
            <w:tcW w:w="1819"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rPr>
                <w:rFonts w:ascii="宋体" w:hAnsi="宋体" w:cs="宋体"/>
                <w:kern w:val="0"/>
                <w:sz w:val="16"/>
                <w:szCs w:val="16"/>
              </w:rPr>
            </w:pPr>
            <w:r>
              <w:rPr>
                <w:rFonts w:hint="eastAsia" w:ascii="宋体" w:hAnsi="宋体" w:cs="宋体"/>
                <w:kern w:val="0"/>
                <w:sz w:val="16"/>
                <w:szCs w:val="16"/>
              </w:rPr>
              <w:t>是否根据需要制定相关资金管理办法，并在管理办法中明确资金分配办法；资金分配因素是否全面、合理</w:t>
            </w:r>
          </w:p>
        </w:tc>
        <w:tc>
          <w:tcPr>
            <w:tcW w:w="1435"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rPr>
                <w:rFonts w:ascii="宋体" w:hAnsi="宋体" w:cs="宋体"/>
                <w:kern w:val="0"/>
                <w:sz w:val="16"/>
                <w:szCs w:val="16"/>
              </w:rPr>
            </w:pPr>
            <w:r>
              <w:rPr>
                <w:rFonts w:hint="eastAsia" w:ascii="宋体" w:hAnsi="宋体" w:cs="宋体"/>
                <w:kern w:val="0"/>
                <w:sz w:val="16"/>
                <w:szCs w:val="16"/>
              </w:rPr>
              <w:t>办法健全、规范（1分），因素选择全面、合理（1分）</w:t>
            </w:r>
          </w:p>
        </w:tc>
        <w:tc>
          <w:tcPr>
            <w:tcW w:w="652"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宋体" w:hAnsi="宋体" w:cs="宋体"/>
                <w:kern w:val="0"/>
                <w:sz w:val="16"/>
                <w:szCs w:val="16"/>
              </w:rPr>
            </w:pPr>
            <w:r>
              <w:rPr>
                <w:rFonts w:hint="eastAsia" w:ascii="宋体" w:hAnsi="宋体" w:cs="宋体"/>
                <w:kern w:val="0"/>
                <w:sz w:val="16"/>
                <w:szCs w:val="16"/>
              </w:rPr>
              <w:t>2</w:t>
            </w:r>
          </w:p>
        </w:tc>
        <w:tc>
          <w:tcPr>
            <w:tcW w:w="55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cs="宋体"/>
                <w:color w:val="000000"/>
                <w:kern w:val="0"/>
                <w:sz w:val="16"/>
                <w:szCs w:val="16"/>
                <w:lang w:val="en-US" w:eastAsia="zh-CN"/>
              </w:rPr>
              <w:t>1</w:t>
            </w:r>
          </w:p>
        </w:tc>
      </w:tr>
      <w:tr>
        <w:tblPrEx>
          <w:tblLayout w:type="fixed"/>
          <w:tblCellMar>
            <w:top w:w="0" w:type="dxa"/>
            <w:left w:w="108" w:type="dxa"/>
            <w:bottom w:w="0" w:type="dxa"/>
            <w:right w:w="108" w:type="dxa"/>
          </w:tblCellMar>
        </w:tblPrEx>
        <w:trPr>
          <w:trHeight w:val="402" w:hRule="atLeast"/>
        </w:trPr>
        <w:tc>
          <w:tcPr>
            <w:tcW w:w="890" w:type="dxa"/>
            <w:vMerge w:val="continue"/>
            <w:tcBorders>
              <w:left w:val="single" w:color="auto" w:sz="4" w:space="0"/>
              <w:bottom w:val="single" w:color="000000" w:sz="4" w:space="0"/>
              <w:right w:val="single" w:color="auto" w:sz="4" w:space="0"/>
            </w:tcBorders>
            <w:noWrap w:val="0"/>
            <w:vAlign w:val="center"/>
          </w:tcPr>
          <w:p>
            <w:pPr>
              <w:widowControl/>
              <w:spacing w:line="220" w:lineRule="exact"/>
              <w:jc w:val="left"/>
              <w:rPr>
                <w:rFonts w:ascii="宋体" w:hAnsi="宋体" w:cs="宋体"/>
                <w:kern w:val="0"/>
                <w:sz w:val="16"/>
                <w:szCs w:val="16"/>
              </w:rPr>
            </w:pPr>
          </w:p>
        </w:tc>
        <w:tc>
          <w:tcPr>
            <w:tcW w:w="626" w:type="dxa"/>
            <w:vMerge w:val="continue"/>
            <w:tcBorders>
              <w:left w:val="single" w:color="auto" w:sz="4" w:space="0"/>
              <w:bottom w:val="single" w:color="000000" w:sz="4" w:space="0"/>
              <w:right w:val="single" w:color="auto" w:sz="4" w:space="0"/>
            </w:tcBorders>
            <w:noWrap w:val="0"/>
            <w:vAlign w:val="center"/>
          </w:tcPr>
          <w:p>
            <w:pPr>
              <w:widowControl/>
              <w:spacing w:line="220" w:lineRule="exact"/>
              <w:jc w:val="left"/>
              <w:rPr>
                <w:rFonts w:ascii="宋体" w:hAnsi="宋体" w:cs="宋体"/>
                <w:kern w:val="0"/>
                <w:sz w:val="16"/>
                <w:szCs w:val="16"/>
              </w:rPr>
            </w:pPr>
          </w:p>
        </w:tc>
        <w:tc>
          <w:tcPr>
            <w:tcW w:w="7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宋体" w:hAnsi="宋体" w:cs="宋体"/>
                <w:kern w:val="0"/>
                <w:sz w:val="16"/>
                <w:szCs w:val="16"/>
              </w:rPr>
            </w:pPr>
          </w:p>
        </w:tc>
        <w:tc>
          <w:tcPr>
            <w:tcW w:w="5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宋体" w:hAnsi="宋体" w:cs="宋体"/>
                <w:kern w:val="0"/>
                <w:sz w:val="16"/>
                <w:szCs w:val="16"/>
              </w:rPr>
            </w:pPr>
          </w:p>
        </w:tc>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宋体" w:hAnsi="宋体" w:cs="宋体"/>
                <w:kern w:val="0"/>
                <w:sz w:val="16"/>
                <w:szCs w:val="16"/>
              </w:rPr>
            </w:pPr>
            <w:r>
              <w:rPr>
                <w:rFonts w:hint="eastAsia" w:ascii="宋体" w:hAnsi="宋体" w:cs="宋体"/>
                <w:kern w:val="0"/>
                <w:sz w:val="16"/>
                <w:szCs w:val="16"/>
              </w:rPr>
              <w:t>分配结果</w:t>
            </w:r>
          </w:p>
        </w:tc>
        <w:tc>
          <w:tcPr>
            <w:tcW w:w="466"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宋体" w:hAnsi="宋体" w:cs="宋体"/>
                <w:kern w:val="0"/>
                <w:sz w:val="16"/>
                <w:szCs w:val="16"/>
              </w:rPr>
            </w:pPr>
            <w:r>
              <w:rPr>
                <w:rFonts w:hint="eastAsia" w:ascii="宋体" w:hAnsi="宋体" w:cs="宋体"/>
                <w:kern w:val="0"/>
                <w:sz w:val="16"/>
                <w:szCs w:val="16"/>
              </w:rPr>
              <w:t xml:space="preserve">6 </w:t>
            </w:r>
          </w:p>
        </w:tc>
        <w:tc>
          <w:tcPr>
            <w:tcW w:w="1819"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rPr>
                <w:rFonts w:ascii="宋体" w:hAnsi="宋体" w:cs="宋体"/>
                <w:kern w:val="0"/>
                <w:sz w:val="16"/>
                <w:szCs w:val="16"/>
              </w:rPr>
            </w:pPr>
            <w:r>
              <w:rPr>
                <w:rFonts w:hint="eastAsia" w:ascii="宋体" w:hAnsi="宋体" w:cs="宋体"/>
                <w:kern w:val="0"/>
                <w:sz w:val="16"/>
                <w:szCs w:val="16"/>
              </w:rPr>
              <w:t>资金分配是否符合相关管理办法；分配结果是否合理</w:t>
            </w:r>
          </w:p>
        </w:tc>
        <w:tc>
          <w:tcPr>
            <w:tcW w:w="1435"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rPr>
                <w:rFonts w:ascii="宋体" w:hAnsi="宋体" w:cs="宋体"/>
                <w:kern w:val="0"/>
                <w:sz w:val="16"/>
                <w:szCs w:val="16"/>
              </w:rPr>
            </w:pPr>
            <w:r>
              <w:rPr>
                <w:rFonts w:hint="eastAsia" w:ascii="宋体" w:hAnsi="宋体" w:cs="宋体"/>
                <w:kern w:val="0"/>
                <w:sz w:val="16"/>
                <w:szCs w:val="16"/>
              </w:rPr>
              <w:t>项目符合相关分配办法（2分），资金分配合理（4分）</w:t>
            </w:r>
          </w:p>
        </w:tc>
        <w:tc>
          <w:tcPr>
            <w:tcW w:w="652"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宋体" w:hAnsi="宋体" w:cs="宋体"/>
                <w:kern w:val="0"/>
                <w:sz w:val="16"/>
                <w:szCs w:val="16"/>
              </w:rPr>
            </w:pPr>
            <w:r>
              <w:rPr>
                <w:rFonts w:hint="eastAsia" w:ascii="宋体" w:hAnsi="宋体" w:cs="宋体"/>
                <w:kern w:val="0"/>
                <w:sz w:val="16"/>
                <w:szCs w:val="16"/>
              </w:rPr>
              <w:t>6</w:t>
            </w:r>
          </w:p>
        </w:tc>
        <w:tc>
          <w:tcPr>
            <w:tcW w:w="55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cs="宋体"/>
                <w:color w:val="000000"/>
                <w:kern w:val="0"/>
                <w:sz w:val="16"/>
                <w:szCs w:val="16"/>
                <w:lang w:val="en-US" w:eastAsia="zh-CN"/>
              </w:rPr>
              <w:t>3</w:t>
            </w:r>
          </w:p>
        </w:tc>
      </w:tr>
      <w:tr>
        <w:tblPrEx>
          <w:tblLayout w:type="fixed"/>
          <w:tblCellMar>
            <w:top w:w="0" w:type="dxa"/>
            <w:left w:w="108" w:type="dxa"/>
            <w:bottom w:w="0" w:type="dxa"/>
            <w:right w:w="108" w:type="dxa"/>
          </w:tblCellMar>
        </w:tblPrEx>
        <w:trPr>
          <w:trHeight w:val="402" w:hRule="atLeast"/>
        </w:trPr>
        <w:tc>
          <w:tcPr>
            <w:tcW w:w="890" w:type="dxa"/>
            <w:vMerge w:val="restart"/>
            <w:tcBorders>
              <w:top w:val="nil"/>
              <w:left w:val="single" w:color="auto" w:sz="4" w:space="0"/>
              <w:bottom w:val="single" w:color="000000" w:sz="4" w:space="0"/>
              <w:right w:val="single" w:color="auto" w:sz="4" w:space="0"/>
            </w:tcBorders>
            <w:noWrap w:val="0"/>
            <w:vAlign w:val="center"/>
          </w:tcPr>
          <w:p>
            <w:pPr>
              <w:widowControl/>
              <w:spacing w:line="220" w:lineRule="exact"/>
              <w:jc w:val="center"/>
              <w:rPr>
                <w:rFonts w:ascii="宋体" w:hAnsi="宋体" w:cs="宋体"/>
                <w:kern w:val="0"/>
                <w:sz w:val="16"/>
                <w:szCs w:val="16"/>
              </w:rPr>
            </w:pPr>
            <w:r>
              <w:rPr>
                <w:rFonts w:hint="eastAsia" w:ascii="宋体" w:hAnsi="宋体" w:cs="宋体"/>
                <w:kern w:val="0"/>
                <w:sz w:val="16"/>
                <w:szCs w:val="16"/>
              </w:rPr>
              <w:t>项目管理</w:t>
            </w:r>
          </w:p>
        </w:tc>
        <w:tc>
          <w:tcPr>
            <w:tcW w:w="626" w:type="dxa"/>
            <w:vMerge w:val="restart"/>
            <w:tcBorders>
              <w:top w:val="nil"/>
              <w:left w:val="single" w:color="auto" w:sz="4" w:space="0"/>
              <w:bottom w:val="single" w:color="000000" w:sz="4" w:space="0"/>
              <w:right w:val="single" w:color="auto" w:sz="4" w:space="0"/>
            </w:tcBorders>
            <w:noWrap w:val="0"/>
            <w:vAlign w:val="center"/>
          </w:tcPr>
          <w:p>
            <w:pPr>
              <w:widowControl/>
              <w:spacing w:line="220" w:lineRule="exact"/>
              <w:jc w:val="center"/>
              <w:rPr>
                <w:rFonts w:ascii="宋体" w:hAnsi="宋体" w:cs="宋体"/>
                <w:kern w:val="0"/>
                <w:sz w:val="16"/>
                <w:szCs w:val="16"/>
              </w:rPr>
            </w:pPr>
            <w:r>
              <w:rPr>
                <w:rFonts w:hint="eastAsia" w:ascii="宋体" w:hAnsi="宋体" w:cs="宋体"/>
                <w:kern w:val="0"/>
                <w:sz w:val="16"/>
                <w:szCs w:val="16"/>
              </w:rPr>
              <w:t xml:space="preserve">25 </w:t>
            </w:r>
          </w:p>
        </w:tc>
        <w:tc>
          <w:tcPr>
            <w:tcW w:w="72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宋体" w:hAnsi="宋体" w:cs="宋体"/>
                <w:kern w:val="0"/>
                <w:sz w:val="16"/>
                <w:szCs w:val="16"/>
              </w:rPr>
            </w:pPr>
            <w:r>
              <w:rPr>
                <w:rFonts w:hint="eastAsia" w:ascii="宋体" w:hAnsi="宋体" w:cs="宋体"/>
                <w:kern w:val="0"/>
                <w:sz w:val="16"/>
                <w:szCs w:val="16"/>
              </w:rPr>
              <w:t>资金到位</w:t>
            </w:r>
          </w:p>
        </w:tc>
        <w:tc>
          <w:tcPr>
            <w:tcW w:w="50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宋体" w:hAnsi="宋体" w:cs="宋体"/>
                <w:kern w:val="0"/>
                <w:sz w:val="16"/>
                <w:szCs w:val="16"/>
              </w:rPr>
            </w:pPr>
            <w:r>
              <w:rPr>
                <w:rFonts w:hint="eastAsia" w:ascii="宋体" w:hAnsi="宋体" w:cs="宋体"/>
                <w:kern w:val="0"/>
                <w:sz w:val="16"/>
                <w:szCs w:val="16"/>
              </w:rPr>
              <w:t xml:space="preserve">5 </w:t>
            </w:r>
          </w:p>
        </w:tc>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宋体" w:hAnsi="宋体" w:cs="宋体"/>
                <w:kern w:val="0"/>
                <w:sz w:val="16"/>
                <w:szCs w:val="16"/>
              </w:rPr>
            </w:pPr>
            <w:r>
              <w:rPr>
                <w:rFonts w:hint="eastAsia" w:ascii="宋体" w:hAnsi="宋体" w:cs="宋体"/>
                <w:kern w:val="0"/>
                <w:sz w:val="16"/>
                <w:szCs w:val="16"/>
              </w:rPr>
              <w:t>到位率</w:t>
            </w:r>
          </w:p>
        </w:tc>
        <w:tc>
          <w:tcPr>
            <w:tcW w:w="466"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宋体" w:hAnsi="宋体" w:cs="宋体"/>
                <w:kern w:val="0"/>
                <w:sz w:val="16"/>
                <w:szCs w:val="16"/>
              </w:rPr>
            </w:pPr>
            <w:r>
              <w:rPr>
                <w:rFonts w:hint="eastAsia" w:ascii="宋体" w:hAnsi="宋体" w:cs="宋体"/>
                <w:kern w:val="0"/>
                <w:sz w:val="16"/>
                <w:szCs w:val="16"/>
              </w:rPr>
              <w:t xml:space="preserve">3 </w:t>
            </w:r>
          </w:p>
        </w:tc>
        <w:tc>
          <w:tcPr>
            <w:tcW w:w="1819"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宋体" w:hAnsi="宋体" w:cs="宋体"/>
                <w:kern w:val="0"/>
                <w:sz w:val="16"/>
                <w:szCs w:val="16"/>
              </w:rPr>
            </w:pPr>
            <w:r>
              <w:rPr>
                <w:rFonts w:hint="eastAsia" w:ascii="宋体" w:hAnsi="宋体" w:cs="宋体"/>
                <w:kern w:val="0"/>
                <w:sz w:val="16"/>
                <w:szCs w:val="16"/>
              </w:rPr>
              <w:t>实际到位/计划到位数*100%</w:t>
            </w:r>
          </w:p>
        </w:tc>
        <w:tc>
          <w:tcPr>
            <w:tcW w:w="1435"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宋体" w:hAnsi="宋体" w:cs="宋体"/>
                <w:kern w:val="0"/>
                <w:sz w:val="16"/>
                <w:szCs w:val="16"/>
              </w:rPr>
            </w:pPr>
            <w:r>
              <w:rPr>
                <w:rFonts w:hint="eastAsia" w:ascii="宋体" w:hAnsi="宋体" w:cs="宋体"/>
                <w:kern w:val="0"/>
                <w:sz w:val="16"/>
                <w:szCs w:val="16"/>
              </w:rPr>
              <w:t>根据项目实际到位资金占计划的比重，计划比重计算得3分</w:t>
            </w:r>
          </w:p>
        </w:tc>
        <w:tc>
          <w:tcPr>
            <w:tcW w:w="652"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宋体" w:hAnsi="宋体" w:cs="宋体"/>
                <w:kern w:val="0"/>
                <w:sz w:val="16"/>
                <w:szCs w:val="16"/>
              </w:rPr>
            </w:pPr>
            <w:r>
              <w:rPr>
                <w:rFonts w:hint="eastAsia" w:ascii="宋体" w:hAnsi="宋体" w:cs="宋体"/>
                <w:kern w:val="0"/>
                <w:sz w:val="16"/>
                <w:szCs w:val="16"/>
              </w:rPr>
              <w:t xml:space="preserve">3 </w:t>
            </w:r>
          </w:p>
        </w:tc>
        <w:tc>
          <w:tcPr>
            <w:tcW w:w="55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kern w:val="0"/>
                <w:sz w:val="16"/>
                <w:szCs w:val="16"/>
              </w:rPr>
            </w:pPr>
            <w:r>
              <w:rPr>
                <w:rFonts w:hint="eastAsia" w:ascii="宋体" w:hAnsi="宋体" w:cs="宋体"/>
                <w:color w:val="000000"/>
                <w:kern w:val="0"/>
                <w:sz w:val="16"/>
                <w:szCs w:val="16"/>
              </w:rPr>
              <w:t>3</w:t>
            </w:r>
          </w:p>
        </w:tc>
      </w:tr>
      <w:tr>
        <w:tblPrEx>
          <w:tblLayout w:type="fixed"/>
          <w:tblCellMar>
            <w:top w:w="0" w:type="dxa"/>
            <w:left w:w="108" w:type="dxa"/>
            <w:bottom w:w="0" w:type="dxa"/>
            <w:right w:w="108" w:type="dxa"/>
          </w:tblCellMar>
        </w:tblPrEx>
        <w:trPr>
          <w:trHeight w:val="664" w:hRule="atLeast"/>
        </w:trPr>
        <w:tc>
          <w:tcPr>
            <w:tcW w:w="890" w:type="dxa"/>
            <w:vMerge w:val="continue"/>
            <w:tcBorders>
              <w:top w:val="nil"/>
              <w:left w:val="single" w:color="auto" w:sz="4" w:space="0"/>
              <w:bottom w:val="single" w:color="000000" w:sz="4" w:space="0"/>
              <w:right w:val="single" w:color="auto" w:sz="4" w:space="0"/>
            </w:tcBorders>
            <w:noWrap w:val="0"/>
            <w:vAlign w:val="center"/>
          </w:tcPr>
          <w:p>
            <w:pPr>
              <w:widowControl/>
              <w:spacing w:line="220" w:lineRule="exact"/>
              <w:jc w:val="left"/>
              <w:rPr>
                <w:rFonts w:ascii="宋体" w:hAnsi="宋体" w:cs="宋体"/>
                <w:kern w:val="0"/>
                <w:sz w:val="16"/>
                <w:szCs w:val="16"/>
              </w:rPr>
            </w:pPr>
          </w:p>
        </w:tc>
        <w:tc>
          <w:tcPr>
            <w:tcW w:w="626" w:type="dxa"/>
            <w:vMerge w:val="continue"/>
            <w:tcBorders>
              <w:top w:val="nil"/>
              <w:left w:val="single" w:color="auto" w:sz="4" w:space="0"/>
              <w:bottom w:val="single" w:color="000000" w:sz="4" w:space="0"/>
              <w:right w:val="single" w:color="auto" w:sz="4" w:space="0"/>
            </w:tcBorders>
            <w:noWrap w:val="0"/>
            <w:vAlign w:val="center"/>
          </w:tcPr>
          <w:p>
            <w:pPr>
              <w:widowControl/>
              <w:spacing w:line="220" w:lineRule="exact"/>
              <w:jc w:val="left"/>
              <w:rPr>
                <w:rFonts w:ascii="宋体" w:hAnsi="宋体" w:cs="宋体"/>
                <w:kern w:val="0"/>
                <w:sz w:val="16"/>
                <w:szCs w:val="16"/>
              </w:rPr>
            </w:pPr>
          </w:p>
        </w:tc>
        <w:tc>
          <w:tcPr>
            <w:tcW w:w="7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宋体" w:hAnsi="宋体" w:cs="宋体"/>
                <w:kern w:val="0"/>
                <w:sz w:val="16"/>
                <w:szCs w:val="16"/>
              </w:rPr>
            </w:pPr>
          </w:p>
        </w:tc>
        <w:tc>
          <w:tcPr>
            <w:tcW w:w="5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宋体" w:hAnsi="宋体" w:cs="宋体"/>
                <w:kern w:val="0"/>
                <w:sz w:val="16"/>
                <w:szCs w:val="16"/>
              </w:rPr>
            </w:pPr>
          </w:p>
        </w:tc>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宋体" w:hAnsi="宋体" w:cs="宋体"/>
                <w:kern w:val="0"/>
                <w:sz w:val="16"/>
                <w:szCs w:val="16"/>
              </w:rPr>
            </w:pPr>
            <w:r>
              <w:rPr>
                <w:rFonts w:hint="eastAsia" w:ascii="宋体" w:hAnsi="宋体" w:cs="宋体"/>
                <w:kern w:val="0"/>
                <w:sz w:val="16"/>
                <w:szCs w:val="16"/>
              </w:rPr>
              <w:t>到位时效</w:t>
            </w:r>
          </w:p>
        </w:tc>
        <w:tc>
          <w:tcPr>
            <w:tcW w:w="466"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宋体" w:hAnsi="宋体" w:cs="宋体"/>
                <w:kern w:val="0"/>
                <w:sz w:val="16"/>
                <w:szCs w:val="16"/>
              </w:rPr>
            </w:pPr>
            <w:r>
              <w:rPr>
                <w:rFonts w:hint="eastAsia" w:ascii="宋体" w:hAnsi="宋体" w:cs="宋体"/>
                <w:kern w:val="0"/>
                <w:sz w:val="16"/>
                <w:szCs w:val="16"/>
              </w:rPr>
              <w:t xml:space="preserve">2 </w:t>
            </w:r>
          </w:p>
        </w:tc>
        <w:tc>
          <w:tcPr>
            <w:tcW w:w="1819"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宋体" w:hAnsi="宋体" w:cs="宋体"/>
                <w:kern w:val="0"/>
                <w:sz w:val="16"/>
                <w:szCs w:val="16"/>
              </w:rPr>
            </w:pPr>
            <w:r>
              <w:rPr>
                <w:rFonts w:hint="eastAsia" w:ascii="宋体" w:hAnsi="宋体" w:cs="宋体"/>
                <w:kern w:val="0"/>
                <w:sz w:val="16"/>
                <w:szCs w:val="16"/>
              </w:rPr>
              <w:t>资金及时到位,若未及时到位,是否影响项目进度</w:t>
            </w:r>
          </w:p>
        </w:tc>
        <w:tc>
          <w:tcPr>
            <w:tcW w:w="1435"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宋体" w:hAnsi="宋体" w:cs="宋体"/>
                <w:kern w:val="0"/>
                <w:sz w:val="16"/>
                <w:szCs w:val="16"/>
              </w:rPr>
            </w:pPr>
            <w:r>
              <w:rPr>
                <w:rFonts w:hint="eastAsia" w:ascii="宋体" w:hAnsi="宋体" w:cs="宋体"/>
                <w:kern w:val="0"/>
                <w:sz w:val="16"/>
                <w:szCs w:val="16"/>
              </w:rPr>
              <w:t>及时到位2分、未及时到位但未影响项目进度1.5分、未及时到位并影响进度0-1分</w:t>
            </w:r>
          </w:p>
        </w:tc>
        <w:tc>
          <w:tcPr>
            <w:tcW w:w="652"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宋体" w:hAnsi="宋体" w:cs="宋体"/>
                <w:kern w:val="0"/>
                <w:sz w:val="16"/>
                <w:szCs w:val="16"/>
              </w:rPr>
            </w:pPr>
            <w:r>
              <w:rPr>
                <w:rFonts w:hint="eastAsia" w:ascii="宋体" w:hAnsi="宋体" w:cs="宋体"/>
                <w:kern w:val="0"/>
                <w:sz w:val="16"/>
                <w:szCs w:val="16"/>
              </w:rPr>
              <w:t xml:space="preserve">2 </w:t>
            </w:r>
          </w:p>
        </w:tc>
        <w:tc>
          <w:tcPr>
            <w:tcW w:w="55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kern w:val="0"/>
                <w:sz w:val="16"/>
                <w:szCs w:val="16"/>
              </w:rPr>
            </w:pPr>
            <w:r>
              <w:rPr>
                <w:rFonts w:hint="eastAsia" w:ascii="宋体" w:hAnsi="宋体" w:cs="宋体"/>
                <w:color w:val="000000"/>
                <w:kern w:val="0"/>
                <w:sz w:val="16"/>
                <w:szCs w:val="16"/>
              </w:rPr>
              <w:t>2</w:t>
            </w:r>
          </w:p>
        </w:tc>
      </w:tr>
      <w:tr>
        <w:tblPrEx>
          <w:tblLayout w:type="fixed"/>
          <w:tblCellMar>
            <w:top w:w="0" w:type="dxa"/>
            <w:left w:w="108" w:type="dxa"/>
            <w:bottom w:w="0" w:type="dxa"/>
            <w:right w:w="108" w:type="dxa"/>
          </w:tblCellMar>
        </w:tblPrEx>
        <w:trPr>
          <w:trHeight w:val="794" w:hRule="atLeast"/>
        </w:trPr>
        <w:tc>
          <w:tcPr>
            <w:tcW w:w="890" w:type="dxa"/>
            <w:vMerge w:val="continue"/>
            <w:tcBorders>
              <w:top w:val="nil"/>
              <w:left w:val="single" w:color="auto" w:sz="4" w:space="0"/>
              <w:bottom w:val="single" w:color="000000" w:sz="4" w:space="0"/>
              <w:right w:val="single" w:color="auto" w:sz="4" w:space="0"/>
            </w:tcBorders>
            <w:noWrap w:val="0"/>
            <w:vAlign w:val="center"/>
          </w:tcPr>
          <w:p>
            <w:pPr>
              <w:widowControl/>
              <w:spacing w:line="220" w:lineRule="exact"/>
              <w:jc w:val="left"/>
              <w:rPr>
                <w:rFonts w:ascii="宋体" w:hAnsi="宋体" w:cs="宋体"/>
                <w:kern w:val="0"/>
                <w:sz w:val="16"/>
                <w:szCs w:val="16"/>
              </w:rPr>
            </w:pPr>
          </w:p>
        </w:tc>
        <w:tc>
          <w:tcPr>
            <w:tcW w:w="626" w:type="dxa"/>
            <w:vMerge w:val="continue"/>
            <w:tcBorders>
              <w:top w:val="nil"/>
              <w:left w:val="single" w:color="auto" w:sz="4" w:space="0"/>
              <w:bottom w:val="single" w:color="000000" w:sz="4" w:space="0"/>
              <w:right w:val="single" w:color="auto" w:sz="4" w:space="0"/>
            </w:tcBorders>
            <w:noWrap w:val="0"/>
            <w:vAlign w:val="center"/>
          </w:tcPr>
          <w:p>
            <w:pPr>
              <w:widowControl/>
              <w:spacing w:line="220" w:lineRule="exact"/>
              <w:jc w:val="left"/>
              <w:rPr>
                <w:rFonts w:ascii="宋体" w:hAnsi="宋体" w:cs="宋体"/>
                <w:kern w:val="0"/>
                <w:sz w:val="16"/>
                <w:szCs w:val="16"/>
              </w:rPr>
            </w:pPr>
          </w:p>
        </w:tc>
        <w:tc>
          <w:tcPr>
            <w:tcW w:w="72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宋体" w:hAnsi="宋体" w:cs="宋体"/>
                <w:kern w:val="0"/>
                <w:sz w:val="16"/>
                <w:szCs w:val="16"/>
              </w:rPr>
            </w:pPr>
            <w:r>
              <w:rPr>
                <w:rFonts w:hint="eastAsia" w:ascii="宋体" w:hAnsi="宋体" w:cs="宋体"/>
                <w:kern w:val="0"/>
                <w:sz w:val="16"/>
                <w:szCs w:val="16"/>
              </w:rPr>
              <w:t>资金管理</w:t>
            </w:r>
          </w:p>
        </w:tc>
        <w:tc>
          <w:tcPr>
            <w:tcW w:w="50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宋体" w:hAnsi="宋体" w:cs="宋体"/>
                <w:kern w:val="0"/>
                <w:sz w:val="16"/>
                <w:szCs w:val="16"/>
              </w:rPr>
            </w:pPr>
            <w:r>
              <w:rPr>
                <w:rFonts w:hint="eastAsia" w:ascii="宋体" w:hAnsi="宋体" w:cs="宋体"/>
                <w:kern w:val="0"/>
                <w:sz w:val="16"/>
                <w:szCs w:val="16"/>
              </w:rPr>
              <w:t xml:space="preserve">10 </w:t>
            </w:r>
          </w:p>
        </w:tc>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宋体" w:hAnsi="宋体" w:cs="宋体"/>
                <w:kern w:val="0"/>
                <w:sz w:val="16"/>
                <w:szCs w:val="16"/>
              </w:rPr>
            </w:pPr>
            <w:r>
              <w:rPr>
                <w:rFonts w:hint="eastAsia" w:ascii="宋体" w:hAnsi="宋体" w:cs="宋体"/>
                <w:kern w:val="0"/>
                <w:sz w:val="16"/>
                <w:szCs w:val="16"/>
              </w:rPr>
              <w:t>资金使用</w:t>
            </w:r>
          </w:p>
        </w:tc>
        <w:tc>
          <w:tcPr>
            <w:tcW w:w="466"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宋体" w:hAnsi="宋体" w:cs="宋体"/>
                <w:kern w:val="0"/>
                <w:sz w:val="16"/>
                <w:szCs w:val="16"/>
              </w:rPr>
            </w:pPr>
            <w:r>
              <w:rPr>
                <w:rFonts w:hint="eastAsia" w:ascii="宋体" w:hAnsi="宋体" w:cs="宋体"/>
                <w:kern w:val="0"/>
                <w:sz w:val="16"/>
                <w:szCs w:val="16"/>
              </w:rPr>
              <w:t xml:space="preserve">7 </w:t>
            </w:r>
          </w:p>
        </w:tc>
        <w:tc>
          <w:tcPr>
            <w:tcW w:w="1819"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宋体" w:hAnsi="宋体" w:cs="宋体"/>
                <w:kern w:val="0"/>
                <w:sz w:val="16"/>
                <w:szCs w:val="16"/>
              </w:rPr>
            </w:pPr>
            <w:r>
              <w:rPr>
                <w:rFonts w:hint="eastAsia" w:ascii="宋体" w:hAnsi="宋体" w:cs="宋体"/>
                <w:kern w:val="0"/>
                <w:sz w:val="16"/>
                <w:szCs w:val="16"/>
              </w:rPr>
              <w:t>是否存在支出依据不合规、虚列项目支出的情况；是否存在截留、挤占、挪用项目资金情况；是否存在超标准开支情况</w:t>
            </w:r>
          </w:p>
        </w:tc>
        <w:tc>
          <w:tcPr>
            <w:tcW w:w="1435"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宋体" w:hAnsi="宋体" w:cs="宋体"/>
                <w:kern w:val="0"/>
                <w:sz w:val="16"/>
                <w:szCs w:val="16"/>
              </w:rPr>
            </w:pPr>
            <w:r>
              <w:rPr>
                <w:rFonts w:hint="eastAsia" w:ascii="宋体" w:hAnsi="宋体" w:cs="宋体"/>
                <w:kern w:val="0"/>
                <w:sz w:val="16"/>
                <w:szCs w:val="16"/>
              </w:rPr>
              <w:t>虚列（套取）扣4-7分，支出依据不合规扣1分，截留、挤占、挪用扣3-6分，超标准开支扣2-5分</w:t>
            </w:r>
          </w:p>
        </w:tc>
        <w:tc>
          <w:tcPr>
            <w:tcW w:w="652"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宋体" w:hAnsi="宋体" w:cs="宋体"/>
                <w:kern w:val="0"/>
                <w:sz w:val="16"/>
                <w:szCs w:val="16"/>
              </w:rPr>
            </w:pPr>
            <w:r>
              <w:rPr>
                <w:rFonts w:hint="eastAsia" w:ascii="宋体" w:hAnsi="宋体" w:cs="宋体"/>
                <w:kern w:val="0"/>
                <w:sz w:val="16"/>
                <w:szCs w:val="16"/>
              </w:rPr>
              <w:t xml:space="preserve">7 </w:t>
            </w:r>
          </w:p>
        </w:tc>
        <w:tc>
          <w:tcPr>
            <w:tcW w:w="55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cs="宋体"/>
                <w:color w:val="000000"/>
                <w:kern w:val="0"/>
                <w:sz w:val="16"/>
                <w:szCs w:val="16"/>
                <w:lang w:val="en-US" w:eastAsia="zh-CN"/>
              </w:rPr>
              <w:t>7</w:t>
            </w:r>
          </w:p>
        </w:tc>
      </w:tr>
      <w:tr>
        <w:tblPrEx>
          <w:tblLayout w:type="fixed"/>
          <w:tblCellMar>
            <w:top w:w="0" w:type="dxa"/>
            <w:left w:w="108" w:type="dxa"/>
            <w:bottom w:w="0" w:type="dxa"/>
            <w:right w:w="108" w:type="dxa"/>
          </w:tblCellMar>
        </w:tblPrEx>
        <w:trPr>
          <w:trHeight w:val="402" w:hRule="atLeast"/>
        </w:trPr>
        <w:tc>
          <w:tcPr>
            <w:tcW w:w="890" w:type="dxa"/>
            <w:vMerge w:val="continue"/>
            <w:tcBorders>
              <w:top w:val="nil"/>
              <w:left w:val="single" w:color="auto" w:sz="4" w:space="0"/>
              <w:bottom w:val="single" w:color="000000" w:sz="4" w:space="0"/>
              <w:right w:val="single" w:color="auto" w:sz="4" w:space="0"/>
            </w:tcBorders>
            <w:noWrap w:val="0"/>
            <w:vAlign w:val="center"/>
          </w:tcPr>
          <w:p>
            <w:pPr>
              <w:widowControl/>
              <w:spacing w:line="220" w:lineRule="exact"/>
              <w:jc w:val="left"/>
              <w:rPr>
                <w:rFonts w:ascii="宋体" w:hAnsi="宋体" w:cs="宋体"/>
                <w:kern w:val="0"/>
                <w:sz w:val="16"/>
                <w:szCs w:val="16"/>
              </w:rPr>
            </w:pPr>
          </w:p>
        </w:tc>
        <w:tc>
          <w:tcPr>
            <w:tcW w:w="626" w:type="dxa"/>
            <w:vMerge w:val="continue"/>
            <w:tcBorders>
              <w:top w:val="nil"/>
              <w:left w:val="single" w:color="auto" w:sz="4" w:space="0"/>
              <w:bottom w:val="single" w:color="000000" w:sz="4" w:space="0"/>
              <w:right w:val="single" w:color="auto" w:sz="4" w:space="0"/>
            </w:tcBorders>
            <w:noWrap w:val="0"/>
            <w:vAlign w:val="center"/>
          </w:tcPr>
          <w:p>
            <w:pPr>
              <w:widowControl/>
              <w:spacing w:line="220" w:lineRule="exact"/>
              <w:jc w:val="left"/>
              <w:rPr>
                <w:rFonts w:ascii="宋体" w:hAnsi="宋体" w:cs="宋体"/>
                <w:kern w:val="0"/>
                <w:sz w:val="16"/>
                <w:szCs w:val="16"/>
              </w:rPr>
            </w:pPr>
          </w:p>
        </w:tc>
        <w:tc>
          <w:tcPr>
            <w:tcW w:w="7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宋体" w:hAnsi="宋体" w:cs="宋体"/>
                <w:kern w:val="0"/>
                <w:sz w:val="16"/>
                <w:szCs w:val="16"/>
              </w:rPr>
            </w:pPr>
          </w:p>
        </w:tc>
        <w:tc>
          <w:tcPr>
            <w:tcW w:w="5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宋体" w:hAnsi="宋体" w:cs="宋体"/>
                <w:kern w:val="0"/>
                <w:sz w:val="16"/>
                <w:szCs w:val="16"/>
              </w:rPr>
            </w:pPr>
          </w:p>
        </w:tc>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宋体" w:hAnsi="宋体" w:cs="宋体"/>
                <w:kern w:val="0"/>
                <w:sz w:val="16"/>
                <w:szCs w:val="16"/>
              </w:rPr>
            </w:pPr>
            <w:r>
              <w:rPr>
                <w:rFonts w:hint="eastAsia" w:ascii="宋体" w:hAnsi="宋体" w:cs="宋体"/>
                <w:kern w:val="0"/>
                <w:sz w:val="16"/>
                <w:szCs w:val="16"/>
              </w:rPr>
              <w:t>财务管理</w:t>
            </w:r>
          </w:p>
        </w:tc>
        <w:tc>
          <w:tcPr>
            <w:tcW w:w="466"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宋体" w:hAnsi="宋体" w:cs="宋体"/>
                <w:kern w:val="0"/>
                <w:sz w:val="16"/>
                <w:szCs w:val="16"/>
              </w:rPr>
            </w:pPr>
            <w:r>
              <w:rPr>
                <w:rFonts w:hint="eastAsia" w:ascii="宋体" w:hAnsi="宋体" w:cs="宋体"/>
                <w:kern w:val="0"/>
                <w:sz w:val="16"/>
                <w:szCs w:val="16"/>
              </w:rPr>
              <w:t xml:space="preserve">3 </w:t>
            </w:r>
          </w:p>
        </w:tc>
        <w:tc>
          <w:tcPr>
            <w:tcW w:w="1819"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宋体" w:hAnsi="宋体" w:cs="宋体"/>
                <w:kern w:val="0"/>
                <w:sz w:val="16"/>
                <w:szCs w:val="16"/>
              </w:rPr>
            </w:pPr>
            <w:r>
              <w:rPr>
                <w:rFonts w:hint="eastAsia" w:ascii="宋体" w:hAnsi="宋体" w:cs="宋体"/>
                <w:kern w:val="0"/>
                <w:sz w:val="16"/>
                <w:szCs w:val="16"/>
              </w:rPr>
              <w:t>资金管理、费用支出等制度是否健全，是否严格执行；会计核算是否规范</w:t>
            </w:r>
          </w:p>
        </w:tc>
        <w:tc>
          <w:tcPr>
            <w:tcW w:w="1435"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宋体" w:hAnsi="宋体" w:cs="宋体"/>
                <w:kern w:val="0"/>
                <w:sz w:val="16"/>
                <w:szCs w:val="16"/>
              </w:rPr>
            </w:pPr>
            <w:r>
              <w:rPr>
                <w:rFonts w:hint="eastAsia" w:ascii="宋体" w:hAnsi="宋体" w:cs="宋体"/>
                <w:kern w:val="0"/>
                <w:sz w:val="16"/>
                <w:szCs w:val="16"/>
              </w:rPr>
              <w:t>财务制度健全（1分），严格执行制度（1分），会计核算规范（1分）。</w:t>
            </w:r>
          </w:p>
        </w:tc>
        <w:tc>
          <w:tcPr>
            <w:tcW w:w="652"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宋体" w:hAnsi="宋体" w:cs="宋体"/>
                <w:kern w:val="0"/>
                <w:sz w:val="16"/>
                <w:szCs w:val="16"/>
              </w:rPr>
            </w:pPr>
            <w:r>
              <w:rPr>
                <w:rFonts w:hint="eastAsia" w:ascii="宋体" w:hAnsi="宋体" w:cs="宋体"/>
                <w:kern w:val="0"/>
                <w:sz w:val="16"/>
                <w:szCs w:val="16"/>
              </w:rPr>
              <w:t xml:space="preserve">3 </w:t>
            </w:r>
          </w:p>
        </w:tc>
        <w:tc>
          <w:tcPr>
            <w:tcW w:w="55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cs="宋体"/>
                <w:color w:val="000000"/>
                <w:kern w:val="0"/>
                <w:sz w:val="16"/>
                <w:szCs w:val="16"/>
                <w:lang w:val="en-US" w:eastAsia="zh-CN"/>
              </w:rPr>
              <w:t>3</w:t>
            </w:r>
          </w:p>
        </w:tc>
      </w:tr>
      <w:tr>
        <w:tblPrEx>
          <w:tblLayout w:type="fixed"/>
          <w:tblCellMar>
            <w:top w:w="0" w:type="dxa"/>
            <w:left w:w="108" w:type="dxa"/>
            <w:bottom w:w="0" w:type="dxa"/>
            <w:right w:w="108" w:type="dxa"/>
          </w:tblCellMar>
        </w:tblPrEx>
        <w:trPr>
          <w:trHeight w:val="402" w:hRule="atLeast"/>
        </w:trPr>
        <w:tc>
          <w:tcPr>
            <w:tcW w:w="890" w:type="dxa"/>
            <w:vMerge w:val="continue"/>
            <w:tcBorders>
              <w:top w:val="nil"/>
              <w:left w:val="single" w:color="auto" w:sz="4" w:space="0"/>
              <w:bottom w:val="single" w:color="000000" w:sz="4" w:space="0"/>
              <w:right w:val="single" w:color="auto" w:sz="4" w:space="0"/>
            </w:tcBorders>
            <w:noWrap w:val="0"/>
            <w:vAlign w:val="center"/>
          </w:tcPr>
          <w:p>
            <w:pPr>
              <w:widowControl/>
              <w:spacing w:line="220" w:lineRule="exact"/>
              <w:jc w:val="left"/>
              <w:rPr>
                <w:rFonts w:ascii="宋体" w:hAnsi="宋体" w:cs="宋体"/>
                <w:kern w:val="0"/>
                <w:sz w:val="16"/>
                <w:szCs w:val="16"/>
              </w:rPr>
            </w:pPr>
          </w:p>
        </w:tc>
        <w:tc>
          <w:tcPr>
            <w:tcW w:w="626" w:type="dxa"/>
            <w:vMerge w:val="continue"/>
            <w:tcBorders>
              <w:top w:val="nil"/>
              <w:left w:val="single" w:color="auto" w:sz="4" w:space="0"/>
              <w:bottom w:val="single" w:color="000000" w:sz="4" w:space="0"/>
              <w:right w:val="single" w:color="auto" w:sz="4" w:space="0"/>
            </w:tcBorders>
            <w:noWrap w:val="0"/>
            <w:vAlign w:val="center"/>
          </w:tcPr>
          <w:p>
            <w:pPr>
              <w:widowControl/>
              <w:spacing w:line="220" w:lineRule="exact"/>
              <w:jc w:val="left"/>
              <w:rPr>
                <w:rFonts w:ascii="宋体" w:hAnsi="宋体" w:cs="宋体"/>
                <w:kern w:val="0"/>
                <w:sz w:val="16"/>
                <w:szCs w:val="16"/>
              </w:rPr>
            </w:pPr>
          </w:p>
        </w:tc>
        <w:tc>
          <w:tcPr>
            <w:tcW w:w="72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宋体" w:hAnsi="宋体" w:cs="宋体"/>
                <w:kern w:val="0"/>
                <w:sz w:val="16"/>
                <w:szCs w:val="16"/>
              </w:rPr>
            </w:pPr>
            <w:r>
              <w:rPr>
                <w:rFonts w:hint="eastAsia" w:ascii="宋体" w:hAnsi="宋体" w:cs="宋体"/>
                <w:kern w:val="0"/>
                <w:sz w:val="16"/>
                <w:szCs w:val="16"/>
              </w:rPr>
              <w:t>组织实施</w:t>
            </w:r>
          </w:p>
        </w:tc>
        <w:tc>
          <w:tcPr>
            <w:tcW w:w="50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宋体" w:hAnsi="宋体" w:cs="宋体"/>
                <w:kern w:val="0"/>
                <w:sz w:val="16"/>
                <w:szCs w:val="16"/>
              </w:rPr>
            </w:pPr>
            <w:r>
              <w:rPr>
                <w:rFonts w:hint="eastAsia" w:ascii="宋体" w:hAnsi="宋体" w:cs="宋体"/>
                <w:kern w:val="0"/>
                <w:sz w:val="16"/>
                <w:szCs w:val="16"/>
              </w:rPr>
              <w:t xml:space="preserve">10 </w:t>
            </w:r>
          </w:p>
        </w:tc>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宋体" w:hAnsi="宋体" w:cs="宋体"/>
                <w:kern w:val="0"/>
                <w:sz w:val="16"/>
                <w:szCs w:val="16"/>
              </w:rPr>
            </w:pPr>
            <w:r>
              <w:rPr>
                <w:rFonts w:hint="eastAsia" w:ascii="宋体" w:hAnsi="宋体" w:cs="宋体"/>
                <w:kern w:val="0"/>
                <w:sz w:val="16"/>
                <w:szCs w:val="16"/>
              </w:rPr>
              <w:t>组织机构</w:t>
            </w:r>
          </w:p>
        </w:tc>
        <w:tc>
          <w:tcPr>
            <w:tcW w:w="466"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宋体" w:hAnsi="宋体" w:cs="宋体"/>
                <w:kern w:val="0"/>
                <w:sz w:val="16"/>
                <w:szCs w:val="16"/>
              </w:rPr>
            </w:pPr>
            <w:r>
              <w:rPr>
                <w:rFonts w:hint="eastAsia" w:ascii="宋体" w:hAnsi="宋体" w:cs="宋体"/>
                <w:kern w:val="0"/>
                <w:sz w:val="16"/>
                <w:szCs w:val="16"/>
              </w:rPr>
              <w:t xml:space="preserve">1 </w:t>
            </w:r>
          </w:p>
        </w:tc>
        <w:tc>
          <w:tcPr>
            <w:tcW w:w="1819"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宋体" w:hAnsi="宋体" w:cs="宋体"/>
                <w:kern w:val="0"/>
                <w:sz w:val="16"/>
                <w:szCs w:val="16"/>
              </w:rPr>
            </w:pPr>
            <w:r>
              <w:rPr>
                <w:rFonts w:hint="eastAsia" w:ascii="宋体" w:hAnsi="宋体" w:cs="宋体"/>
                <w:kern w:val="0"/>
                <w:sz w:val="16"/>
                <w:szCs w:val="16"/>
              </w:rPr>
              <w:t>机构健全、分工明确</w:t>
            </w:r>
          </w:p>
        </w:tc>
        <w:tc>
          <w:tcPr>
            <w:tcW w:w="1435"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宋体" w:hAnsi="宋体" w:cs="宋体"/>
                <w:kern w:val="0"/>
                <w:sz w:val="16"/>
                <w:szCs w:val="16"/>
              </w:rPr>
            </w:pPr>
            <w:r>
              <w:rPr>
                <w:rFonts w:hint="eastAsia" w:ascii="宋体" w:hAnsi="宋体" w:cs="宋体"/>
                <w:kern w:val="0"/>
                <w:sz w:val="16"/>
                <w:szCs w:val="16"/>
              </w:rPr>
              <w:t>机构健全分工明确1分</w:t>
            </w:r>
          </w:p>
        </w:tc>
        <w:tc>
          <w:tcPr>
            <w:tcW w:w="652"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宋体" w:hAnsi="宋体" w:cs="宋体"/>
                <w:kern w:val="0"/>
                <w:sz w:val="16"/>
                <w:szCs w:val="16"/>
              </w:rPr>
            </w:pPr>
            <w:r>
              <w:rPr>
                <w:rFonts w:hint="eastAsia" w:ascii="宋体" w:hAnsi="宋体" w:cs="宋体"/>
                <w:kern w:val="0"/>
                <w:sz w:val="16"/>
                <w:szCs w:val="16"/>
              </w:rPr>
              <w:t xml:space="preserve">1 </w:t>
            </w:r>
          </w:p>
        </w:tc>
        <w:tc>
          <w:tcPr>
            <w:tcW w:w="55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kern w:val="0"/>
                <w:sz w:val="16"/>
                <w:szCs w:val="16"/>
              </w:rPr>
            </w:pPr>
            <w:r>
              <w:rPr>
                <w:rFonts w:hint="eastAsia" w:ascii="宋体" w:hAnsi="宋体" w:cs="宋体"/>
                <w:color w:val="000000"/>
                <w:kern w:val="0"/>
                <w:sz w:val="16"/>
                <w:szCs w:val="16"/>
              </w:rPr>
              <w:t>1</w:t>
            </w:r>
          </w:p>
        </w:tc>
      </w:tr>
      <w:tr>
        <w:tblPrEx>
          <w:tblLayout w:type="fixed"/>
          <w:tblCellMar>
            <w:top w:w="0" w:type="dxa"/>
            <w:left w:w="108" w:type="dxa"/>
            <w:bottom w:w="0" w:type="dxa"/>
            <w:right w:w="108" w:type="dxa"/>
          </w:tblCellMar>
        </w:tblPrEx>
        <w:trPr>
          <w:trHeight w:val="402" w:hRule="atLeast"/>
        </w:trPr>
        <w:tc>
          <w:tcPr>
            <w:tcW w:w="890" w:type="dxa"/>
            <w:vMerge w:val="continue"/>
            <w:tcBorders>
              <w:top w:val="nil"/>
              <w:left w:val="single" w:color="auto" w:sz="4" w:space="0"/>
              <w:bottom w:val="single" w:color="auto" w:sz="4" w:space="0"/>
              <w:right w:val="single" w:color="auto" w:sz="4" w:space="0"/>
            </w:tcBorders>
            <w:noWrap w:val="0"/>
            <w:vAlign w:val="center"/>
          </w:tcPr>
          <w:p>
            <w:pPr>
              <w:widowControl/>
              <w:spacing w:line="220" w:lineRule="exact"/>
              <w:jc w:val="left"/>
              <w:rPr>
                <w:rFonts w:ascii="宋体" w:hAnsi="宋体" w:cs="宋体"/>
                <w:kern w:val="0"/>
                <w:sz w:val="16"/>
                <w:szCs w:val="16"/>
              </w:rPr>
            </w:pPr>
          </w:p>
        </w:tc>
        <w:tc>
          <w:tcPr>
            <w:tcW w:w="626" w:type="dxa"/>
            <w:vMerge w:val="continue"/>
            <w:tcBorders>
              <w:top w:val="nil"/>
              <w:left w:val="single" w:color="auto" w:sz="4" w:space="0"/>
              <w:bottom w:val="single" w:color="auto" w:sz="4" w:space="0"/>
              <w:right w:val="single" w:color="auto" w:sz="4" w:space="0"/>
            </w:tcBorders>
            <w:noWrap w:val="0"/>
            <w:vAlign w:val="center"/>
          </w:tcPr>
          <w:p>
            <w:pPr>
              <w:widowControl/>
              <w:spacing w:line="220" w:lineRule="exact"/>
              <w:jc w:val="left"/>
              <w:rPr>
                <w:rFonts w:ascii="宋体" w:hAnsi="宋体" w:cs="宋体"/>
                <w:kern w:val="0"/>
                <w:sz w:val="16"/>
                <w:szCs w:val="16"/>
              </w:rPr>
            </w:pPr>
          </w:p>
        </w:tc>
        <w:tc>
          <w:tcPr>
            <w:tcW w:w="7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宋体" w:hAnsi="宋体" w:cs="宋体"/>
                <w:kern w:val="0"/>
                <w:sz w:val="16"/>
                <w:szCs w:val="16"/>
              </w:rPr>
            </w:pPr>
          </w:p>
        </w:tc>
        <w:tc>
          <w:tcPr>
            <w:tcW w:w="5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宋体" w:hAnsi="宋体" w:cs="宋体"/>
                <w:kern w:val="0"/>
                <w:sz w:val="16"/>
                <w:szCs w:val="16"/>
              </w:rPr>
            </w:pPr>
          </w:p>
        </w:tc>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宋体" w:hAnsi="宋体" w:cs="宋体"/>
                <w:kern w:val="0"/>
                <w:sz w:val="16"/>
                <w:szCs w:val="16"/>
              </w:rPr>
            </w:pPr>
            <w:r>
              <w:rPr>
                <w:rFonts w:hint="eastAsia" w:ascii="宋体" w:hAnsi="宋体" w:cs="宋体"/>
                <w:kern w:val="0"/>
                <w:sz w:val="16"/>
                <w:szCs w:val="16"/>
              </w:rPr>
              <w:t>管理制度</w:t>
            </w:r>
          </w:p>
        </w:tc>
        <w:tc>
          <w:tcPr>
            <w:tcW w:w="466"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宋体" w:hAnsi="宋体" w:cs="宋体"/>
                <w:kern w:val="0"/>
                <w:sz w:val="16"/>
                <w:szCs w:val="16"/>
              </w:rPr>
            </w:pPr>
            <w:r>
              <w:rPr>
                <w:rFonts w:hint="eastAsia" w:ascii="宋体" w:hAnsi="宋体" w:cs="宋体"/>
                <w:kern w:val="0"/>
                <w:sz w:val="16"/>
                <w:szCs w:val="16"/>
              </w:rPr>
              <w:t xml:space="preserve">9 </w:t>
            </w:r>
          </w:p>
        </w:tc>
        <w:tc>
          <w:tcPr>
            <w:tcW w:w="1819"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宋体" w:hAnsi="宋体" w:cs="宋体"/>
                <w:kern w:val="0"/>
                <w:sz w:val="16"/>
                <w:szCs w:val="16"/>
              </w:rPr>
            </w:pPr>
            <w:r>
              <w:rPr>
                <w:rFonts w:hint="eastAsia" w:ascii="宋体" w:hAnsi="宋体" w:cs="宋体"/>
                <w:kern w:val="0"/>
                <w:sz w:val="16"/>
                <w:szCs w:val="16"/>
              </w:rPr>
              <w:t>建立健全项目管理制度，严格执行相关项目管理制度</w:t>
            </w:r>
          </w:p>
        </w:tc>
        <w:tc>
          <w:tcPr>
            <w:tcW w:w="1435"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宋体" w:hAnsi="宋体" w:cs="宋体"/>
                <w:kern w:val="0"/>
                <w:sz w:val="16"/>
                <w:szCs w:val="16"/>
              </w:rPr>
            </w:pPr>
            <w:r>
              <w:rPr>
                <w:rFonts w:hint="eastAsia" w:ascii="宋体" w:hAnsi="宋体" w:cs="宋体"/>
                <w:kern w:val="0"/>
                <w:sz w:val="16"/>
                <w:szCs w:val="16"/>
              </w:rPr>
              <w:t>建立健全项目管理制度2分、严格执行项目管理制度7分</w:t>
            </w:r>
          </w:p>
        </w:tc>
        <w:tc>
          <w:tcPr>
            <w:tcW w:w="652"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宋体" w:hAnsi="宋体" w:cs="宋体"/>
                <w:kern w:val="0"/>
                <w:sz w:val="16"/>
                <w:szCs w:val="16"/>
              </w:rPr>
            </w:pPr>
            <w:r>
              <w:rPr>
                <w:rFonts w:hint="eastAsia" w:ascii="宋体" w:hAnsi="宋体" w:cs="宋体"/>
                <w:kern w:val="0"/>
                <w:sz w:val="16"/>
                <w:szCs w:val="16"/>
              </w:rPr>
              <w:t xml:space="preserve">9 </w:t>
            </w:r>
          </w:p>
        </w:tc>
        <w:tc>
          <w:tcPr>
            <w:tcW w:w="55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cs="宋体"/>
                <w:color w:val="000000"/>
                <w:kern w:val="0"/>
                <w:sz w:val="16"/>
                <w:szCs w:val="16"/>
                <w:lang w:val="en-US" w:eastAsia="zh-CN"/>
              </w:rPr>
              <w:t>5</w:t>
            </w:r>
          </w:p>
        </w:tc>
      </w:tr>
      <w:tr>
        <w:tblPrEx>
          <w:tblLayout w:type="fixed"/>
          <w:tblCellMar>
            <w:top w:w="0" w:type="dxa"/>
            <w:left w:w="108" w:type="dxa"/>
            <w:bottom w:w="0" w:type="dxa"/>
            <w:right w:w="108" w:type="dxa"/>
          </w:tblCellMar>
        </w:tblPrEx>
        <w:trPr>
          <w:trHeight w:val="1065" w:hRule="atLeast"/>
        </w:trPr>
        <w:tc>
          <w:tcPr>
            <w:tcW w:w="89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6"/>
                <w:szCs w:val="16"/>
              </w:rPr>
            </w:pPr>
            <w:r>
              <w:rPr>
                <w:rFonts w:hint="eastAsia" w:ascii="宋体" w:hAnsi="宋体" w:cs="宋体"/>
                <w:kern w:val="0"/>
                <w:sz w:val="16"/>
                <w:szCs w:val="16"/>
              </w:rPr>
              <w:t>项目绩效</w:t>
            </w:r>
          </w:p>
        </w:tc>
        <w:tc>
          <w:tcPr>
            <w:tcW w:w="62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xml:space="preserve">55 </w:t>
            </w:r>
          </w:p>
        </w:tc>
        <w:tc>
          <w:tcPr>
            <w:tcW w:w="72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项目产出</w:t>
            </w:r>
          </w:p>
        </w:tc>
        <w:tc>
          <w:tcPr>
            <w:tcW w:w="50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xml:space="preserve">15 </w:t>
            </w:r>
          </w:p>
        </w:tc>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宋体" w:hAnsi="宋体" w:cs="宋体"/>
                <w:kern w:val="0"/>
                <w:sz w:val="16"/>
                <w:szCs w:val="16"/>
              </w:rPr>
            </w:pPr>
            <w:r>
              <w:rPr>
                <w:rFonts w:hint="eastAsia" w:ascii="宋体" w:hAnsi="宋体" w:cs="宋体"/>
                <w:kern w:val="0"/>
                <w:sz w:val="16"/>
                <w:szCs w:val="16"/>
              </w:rPr>
              <w:t>产出数量</w:t>
            </w:r>
          </w:p>
        </w:tc>
        <w:tc>
          <w:tcPr>
            <w:tcW w:w="466"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宋体" w:hAnsi="宋体" w:cs="宋体"/>
                <w:kern w:val="0"/>
                <w:sz w:val="16"/>
                <w:szCs w:val="16"/>
              </w:rPr>
            </w:pPr>
            <w:r>
              <w:rPr>
                <w:rFonts w:hint="eastAsia" w:ascii="宋体" w:hAnsi="宋体" w:cs="宋体"/>
                <w:kern w:val="0"/>
                <w:sz w:val="16"/>
                <w:szCs w:val="16"/>
              </w:rPr>
              <w:t xml:space="preserve">5 </w:t>
            </w:r>
          </w:p>
        </w:tc>
        <w:tc>
          <w:tcPr>
            <w:tcW w:w="1819"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宋体" w:hAnsi="宋体" w:cs="宋体"/>
                <w:kern w:val="0"/>
                <w:sz w:val="16"/>
                <w:szCs w:val="16"/>
              </w:rPr>
            </w:pPr>
            <w:r>
              <w:rPr>
                <w:rFonts w:hint="eastAsia" w:ascii="宋体" w:hAnsi="宋体" w:cs="宋体"/>
                <w:kern w:val="0"/>
                <w:sz w:val="16"/>
                <w:szCs w:val="16"/>
              </w:rPr>
              <w:t>项目产出数量是否达到绩效目标</w:t>
            </w:r>
          </w:p>
        </w:tc>
        <w:tc>
          <w:tcPr>
            <w:tcW w:w="1435"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宋体" w:hAnsi="宋体" w:cs="宋体"/>
                <w:kern w:val="0"/>
                <w:sz w:val="16"/>
                <w:szCs w:val="16"/>
              </w:rPr>
            </w:pPr>
            <w:r>
              <w:rPr>
                <w:rFonts w:hint="eastAsia" w:ascii="宋体" w:hAnsi="宋体" w:cs="宋体"/>
                <w:kern w:val="0"/>
                <w:sz w:val="16"/>
                <w:szCs w:val="16"/>
              </w:rPr>
              <w:t>对照年初或调整后的绩效目标评价产出数量（按优5分、良3分、中2分、差1分进行评分）</w:t>
            </w:r>
          </w:p>
        </w:tc>
        <w:tc>
          <w:tcPr>
            <w:tcW w:w="652"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宋体" w:hAnsi="宋体" w:cs="宋体"/>
                <w:kern w:val="0"/>
                <w:sz w:val="16"/>
                <w:szCs w:val="16"/>
              </w:rPr>
            </w:pPr>
            <w:r>
              <w:rPr>
                <w:rFonts w:hint="eastAsia" w:ascii="宋体" w:hAnsi="宋体" w:cs="宋体"/>
                <w:kern w:val="0"/>
                <w:sz w:val="16"/>
                <w:szCs w:val="16"/>
              </w:rPr>
              <w:t>5</w:t>
            </w:r>
          </w:p>
        </w:tc>
        <w:tc>
          <w:tcPr>
            <w:tcW w:w="55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kern w:val="0"/>
                <w:sz w:val="16"/>
                <w:szCs w:val="16"/>
              </w:rPr>
            </w:pPr>
            <w:r>
              <w:rPr>
                <w:rFonts w:hint="eastAsia" w:ascii="宋体" w:hAnsi="宋体" w:cs="宋体"/>
                <w:color w:val="000000"/>
                <w:kern w:val="0"/>
                <w:sz w:val="16"/>
                <w:szCs w:val="16"/>
              </w:rPr>
              <w:t>5</w:t>
            </w:r>
          </w:p>
        </w:tc>
      </w:tr>
      <w:tr>
        <w:tblPrEx>
          <w:tblLayout w:type="fixed"/>
          <w:tblCellMar>
            <w:top w:w="0" w:type="dxa"/>
            <w:left w:w="108" w:type="dxa"/>
            <w:bottom w:w="0" w:type="dxa"/>
            <w:right w:w="108" w:type="dxa"/>
          </w:tblCellMar>
        </w:tblPrEx>
        <w:trPr>
          <w:trHeight w:val="1245" w:hRule="atLeast"/>
        </w:trPr>
        <w:tc>
          <w:tcPr>
            <w:tcW w:w="8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16"/>
                <w:szCs w:val="16"/>
              </w:rPr>
            </w:pPr>
          </w:p>
        </w:tc>
        <w:tc>
          <w:tcPr>
            <w:tcW w:w="6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7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5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宋体" w:hAnsi="宋体" w:cs="宋体"/>
                <w:kern w:val="0"/>
                <w:sz w:val="16"/>
                <w:szCs w:val="16"/>
              </w:rPr>
            </w:pPr>
            <w:r>
              <w:rPr>
                <w:rFonts w:hint="eastAsia" w:ascii="宋体" w:hAnsi="宋体" w:cs="宋体"/>
                <w:kern w:val="0"/>
                <w:sz w:val="16"/>
                <w:szCs w:val="16"/>
              </w:rPr>
              <w:t>产出质量</w:t>
            </w:r>
          </w:p>
        </w:tc>
        <w:tc>
          <w:tcPr>
            <w:tcW w:w="466"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宋体" w:hAnsi="宋体" w:cs="宋体"/>
                <w:kern w:val="0"/>
                <w:sz w:val="16"/>
                <w:szCs w:val="16"/>
              </w:rPr>
            </w:pPr>
            <w:r>
              <w:rPr>
                <w:rFonts w:hint="eastAsia" w:ascii="宋体" w:hAnsi="宋体" w:cs="宋体"/>
                <w:kern w:val="0"/>
                <w:sz w:val="16"/>
                <w:szCs w:val="16"/>
              </w:rPr>
              <w:t xml:space="preserve">4 </w:t>
            </w:r>
          </w:p>
        </w:tc>
        <w:tc>
          <w:tcPr>
            <w:tcW w:w="1819"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宋体" w:hAnsi="宋体" w:cs="宋体"/>
                <w:kern w:val="0"/>
                <w:sz w:val="16"/>
                <w:szCs w:val="16"/>
              </w:rPr>
            </w:pPr>
            <w:r>
              <w:rPr>
                <w:rFonts w:hint="eastAsia" w:ascii="宋体" w:hAnsi="宋体" w:cs="宋体"/>
                <w:kern w:val="0"/>
                <w:sz w:val="16"/>
                <w:szCs w:val="16"/>
              </w:rPr>
              <w:t>项目产出质量是否达到绩效目标</w:t>
            </w:r>
          </w:p>
        </w:tc>
        <w:tc>
          <w:tcPr>
            <w:tcW w:w="1435"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宋体" w:hAnsi="宋体" w:cs="宋体"/>
                <w:kern w:val="0"/>
                <w:sz w:val="16"/>
                <w:szCs w:val="16"/>
              </w:rPr>
            </w:pPr>
            <w:r>
              <w:rPr>
                <w:rFonts w:hint="eastAsia" w:ascii="宋体" w:hAnsi="宋体" w:cs="宋体"/>
                <w:kern w:val="0"/>
                <w:sz w:val="16"/>
                <w:szCs w:val="16"/>
              </w:rPr>
              <w:t>对照年初或调整后的绩效目标评价产出质量（按优4分、良3分、中2分、差1分进行评分）</w:t>
            </w:r>
          </w:p>
        </w:tc>
        <w:tc>
          <w:tcPr>
            <w:tcW w:w="652"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宋体" w:hAnsi="宋体" w:cs="宋体"/>
                <w:kern w:val="0"/>
                <w:sz w:val="16"/>
                <w:szCs w:val="16"/>
              </w:rPr>
            </w:pPr>
            <w:r>
              <w:rPr>
                <w:rFonts w:hint="eastAsia" w:ascii="宋体" w:hAnsi="宋体" w:cs="宋体"/>
                <w:kern w:val="0"/>
                <w:sz w:val="16"/>
                <w:szCs w:val="16"/>
              </w:rPr>
              <w:t>4</w:t>
            </w:r>
          </w:p>
        </w:tc>
        <w:tc>
          <w:tcPr>
            <w:tcW w:w="55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kern w:val="0"/>
                <w:sz w:val="16"/>
                <w:szCs w:val="16"/>
              </w:rPr>
            </w:pPr>
            <w:r>
              <w:rPr>
                <w:rFonts w:hint="eastAsia" w:ascii="宋体" w:hAnsi="宋体" w:cs="宋体"/>
                <w:color w:val="000000"/>
                <w:kern w:val="0"/>
                <w:sz w:val="16"/>
                <w:szCs w:val="16"/>
              </w:rPr>
              <w:t>4</w:t>
            </w:r>
          </w:p>
        </w:tc>
      </w:tr>
      <w:tr>
        <w:tblPrEx>
          <w:tblLayout w:type="fixed"/>
          <w:tblCellMar>
            <w:top w:w="0" w:type="dxa"/>
            <w:left w:w="108" w:type="dxa"/>
            <w:bottom w:w="0" w:type="dxa"/>
            <w:right w:w="108" w:type="dxa"/>
          </w:tblCellMar>
        </w:tblPrEx>
        <w:trPr>
          <w:trHeight w:val="402" w:hRule="atLeast"/>
        </w:trPr>
        <w:tc>
          <w:tcPr>
            <w:tcW w:w="8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16"/>
                <w:szCs w:val="16"/>
              </w:rPr>
            </w:pPr>
          </w:p>
        </w:tc>
        <w:tc>
          <w:tcPr>
            <w:tcW w:w="6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7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5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宋体" w:hAnsi="宋体" w:cs="宋体"/>
                <w:kern w:val="0"/>
                <w:sz w:val="16"/>
                <w:szCs w:val="16"/>
              </w:rPr>
            </w:pPr>
            <w:r>
              <w:rPr>
                <w:rFonts w:hint="eastAsia" w:ascii="宋体" w:hAnsi="宋体" w:cs="宋体"/>
                <w:kern w:val="0"/>
                <w:sz w:val="16"/>
                <w:szCs w:val="16"/>
              </w:rPr>
              <w:t>产出时效</w:t>
            </w:r>
          </w:p>
        </w:tc>
        <w:tc>
          <w:tcPr>
            <w:tcW w:w="466"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宋体" w:hAnsi="宋体" w:cs="宋体"/>
                <w:kern w:val="0"/>
                <w:sz w:val="16"/>
                <w:szCs w:val="16"/>
              </w:rPr>
            </w:pPr>
            <w:r>
              <w:rPr>
                <w:rFonts w:hint="eastAsia" w:ascii="宋体" w:hAnsi="宋体" w:cs="宋体"/>
                <w:kern w:val="0"/>
                <w:sz w:val="16"/>
                <w:szCs w:val="16"/>
              </w:rPr>
              <w:t xml:space="preserve">3 </w:t>
            </w:r>
          </w:p>
        </w:tc>
        <w:tc>
          <w:tcPr>
            <w:tcW w:w="1819"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宋体" w:hAnsi="宋体" w:cs="宋体"/>
                <w:kern w:val="0"/>
                <w:sz w:val="16"/>
                <w:szCs w:val="16"/>
              </w:rPr>
            </w:pPr>
            <w:r>
              <w:rPr>
                <w:rFonts w:hint="eastAsia" w:ascii="宋体" w:hAnsi="宋体" w:cs="宋体"/>
                <w:kern w:val="0"/>
                <w:sz w:val="16"/>
                <w:szCs w:val="16"/>
              </w:rPr>
              <w:t>项目产出时效是否达到绩效目标</w:t>
            </w:r>
          </w:p>
        </w:tc>
        <w:tc>
          <w:tcPr>
            <w:tcW w:w="1435"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宋体" w:hAnsi="宋体" w:cs="宋体"/>
                <w:kern w:val="0"/>
                <w:sz w:val="16"/>
                <w:szCs w:val="16"/>
              </w:rPr>
            </w:pPr>
            <w:r>
              <w:rPr>
                <w:rFonts w:hint="eastAsia" w:ascii="宋体" w:hAnsi="宋体" w:cs="宋体"/>
                <w:kern w:val="0"/>
                <w:sz w:val="16"/>
                <w:szCs w:val="16"/>
              </w:rPr>
              <w:t>对照年初或调整后的绩效目标评价产出时效（按优3分、良2分、中1分、差0分进行评分）</w:t>
            </w:r>
          </w:p>
        </w:tc>
        <w:tc>
          <w:tcPr>
            <w:tcW w:w="652"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宋体" w:hAnsi="宋体" w:cs="宋体"/>
                <w:kern w:val="0"/>
                <w:sz w:val="16"/>
                <w:szCs w:val="16"/>
              </w:rPr>
            </w:pPr>
            <w:r>
              <w:rPr>
                <w:rFonts w:hint="eastAsia" w:ascii="宋体" w:hAnsi="宋体" w:cs="宋体"/>
                <w:kern w:val="0"/>
                <w:sz w:val="16"/>
                <w:szCs w:val="16"/>
              </w:rPr>
              <w:t>3</w:t>
            </w:r>
          </w:p>
        </w:tc>
        <w:tc>
          <w:tcPr>
            <w:tcW w:w="55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cs="宋体"/>
                <w:color w:val="000000"/>
                <w:kern w:val="0"/>
                <w:sz w:val="16"/>
                <w:szCs w:val="16"/>
                <w:lang w:val="en-US" w:eastAsia="zh-CN"/>
              </w:rPr>
              <w:t>3</w:t>
            </w:r>
          </w:p>
        </w:tc>
      </w:tr>
      <w:tr>
        <w:tblPrEx>
          <w:tblLayout w:type="fixed"/>
          <w:tblCellMar>
            <w:top w:w="0" w:type="dxa"/>
            <w:left w:w="108" w:type="dxa"/>
            <w:bottom w:w="0" w:type="dxa"/>
            <w:right w:w="108" w:type="dxa"/>
          </w:tblCellMar>
        </w:tblPrEx>
        <w:trPr>
          <w:trHeight w:val="402" w:hRule="atLeast"/>
        </w:trPr>
        <w:tc>
          <w:tcPr>
            <w:tcW w:w="8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16"/>
                <w:szCs w:val="16"/>
              </w:rPr>
            </w:pPr>
          </w:p>
        </w:tc>
        <w:tc>
          <w:tcPr>
            <w:tcW w:w="6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7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5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宋体" w:hAnsi="宋体" w:cs="宋体"/>
                <w:kern w:val="0"/>
                <w:sz w:val="16"/>
                <w:szCs w:val="16"/>
              </w:rPr>
            </w:pPr>
            <w:r>
              <w:rPr>
                <w:rFonts w:hint="eastAsia" w:ascii="宋体" w:hAnsi="宋体" w:cs="宋体"/>
                <w:kern w:val="0"/>
                <w:sz w:val="16"/>
                <w:szCs w:val="16"/>
              </w:rPr>
              <w:t>产出成本</w:t>
            </w:r>
          </w:p>
        </w:tc>
        <w:tc>
          <w:tcPr>
            <w:tcW w:w="466"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宋体" w:hAnsi="宋体" w:cs="宋体"/>
                <w:kern w:val="0"/>
                <w:sz w:val="16"/>
                <w:szCs w:val="16"/>
              </w:rPr>
            </w:pPr>
            <w:r>
              <w:rPr>
                <w:rFonts w:hint="eastAsia" w:ascii="宋体" w:hAnsi="宋体" w:cs="宋体"/>
                <w:kern w:val="0"/>
                <w:sz w:val="16"/>
                <w:szCs w:val="16"/>
              </w:rPr>
              <w:t xml:space="preserve">3 </w:t>
            </w:r>
          </w:p>
        </w:tc>
        <w:tc>
          <w:tcPr>
            <w:tcW w:w="1819"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宋体" w:hAnsi="宋体" w:cs="宋体"/>
                <w:kern w:val="0"/>
                <w:sz w:val="16"/>
                <w:szCs w:val="16"/>
              </w:rPr>
            </w:pPr>
            <w:r>
              <w:rPr>
                <w:rFonts w:hint="eastAsia" w:ascii="宋体" w:hAnsi="宋体" w:cs="宋体"/>
                <w:kern w:val="0"/>
                <w:sz w:val="16"/>
                <w:szCs w:val="16"/>
              </w:rPr>
              <w:t>项目产出成本是否按绩效目标控制</w:t>
            </w:r>
          </w:p>
        </w:tc>
        <w:tc>
          <w:tcPr>
            <w:tcW w:w="1435"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宋体" w:hAnsi="宋体" w:cs="宋体"/>
                <w:kern w:val="0"/>
                <w:sz w:val="16"/>
                <w:szCs w:val="16"/>
              </w:rPr>
            </w:pPr>
            <w:r>
              <w:rPr>
                <w:rFonts w:hint="eastAsia" w:ascii="宋体" w:hAnsi="宋体" w:cs="宋体"/>
                <w:kern w:val="0"/>
                <w:sz w:val="16"/>
                <w:szCs w:val="16"/>
              </w:rPr>
              <w:t>对照年初或调整后的绩效目标评价产出成本（按优3分、良2分、中1分、差0分进行评分）</w:t>
            </w:r>
          </w:p>
        </w:tc>
        <w:tc>
          <w:tcPr>
            <w:tcW w:w="652"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宋体" w:hAnsi="宋体" w:cs="宋体"/>
                <w:kern w:val="0"/>
                <w:sz w:val="16"/>
                <w:szCs w:val="16"/>
              </w:rPr>
            </w:pPr>
            <w:r>
              <w:rPr>
                <w:rFonts w:hint="eastAsia" w:ascii="宋体" w:hAnsi="宋体" w:cs="宋体"/>
                <w:kern w:val="0"/>
                <w:sz w:val="16"/>
                <w:szCs w:val="16"/>
              </w:rPr>
              <w:t>3</w:t>
            </w:r>
          </w:p>
        </w:tc>
        <w:tc>
          <w:tcPr>
            <w:tcW w:w="55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kern w:val="0"/>
                <w:sz w:val="16"/>
                <w:szCs w:val="16"/>
              </w:rPr>
            </w:pPr>
            <w:r>
              <w:rPr>
                <w:rFonts w:hint="eastAsia" w:ascii="宋体" w:hAnsi="宋体" w:cs="宋体"/>
                <w:color w:val="000000"/>
                <w:kern w:val="0"/>
                <w:sz w:val="16"/>
                <w:szCs w:val="16"/>
              </w:rPr>
              <w:t>3</w:t>
            </w:r>
          </w:p>
        </w:tc>
      </w:tr>
      <w:tr>
        <w:tblPrEx>
          <w:tblLayout w:type="fixed"/>
          <w:tblCellMar>
            <w:top w:w="0" w:type="dxa"/>
            <w:left w:w="108" w:type="dxa"/>
            <w:bottom w:w="0" w:type="dxa"/>
            <w:right w:w="108" w:type="dxa"/>
          </w:tblCellMar>
        </w:tblPrEx>
        <w:trPr>
          <w:trHeight w:val="402" w:hRule="atLeast"/>
        </w:trPr>
        <w:tc>
          <w:tcPr>
            <w:tcW w:w="8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16"/>
                <w:szCs w:val="16"/>
              </w:rPr>
            </w:pPr>
          </w:p>
        </w:tc>
        <w:tc>
          <w:tcPr>
            <w:tcW w:w="6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72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项目效果</w:t>
            </w:r>
          </w:p>
        </w:tc>
        <w:tc>
          <w:tcPr>
            <w:tcW w:w="50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xml:space="preserve">40 </w:t>
            </w:r>
          </w:p>
        </w:tc>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宋体" w:hAnsi="宋体" w:cs="宋体"/>
                <w:kern w:val="0"/>
                <w:sz w:val="16"/>
                <w:szCs w:val="16"/>
              </w:rPr>
            </w:pPr>
            <w:r>
              <w:rPr>
                <w:rFonts w:hint="eastAsia" w:ascii="宋体" w:hAnsi="宋体" w:cs="宋体"/>
                <w:kern w:val="0"/>
                <w:sz w:val="16"/>
                <w:szCs w:val="16"/>
              </w:rPr>
              <w:t>经济效益</w:t>
            </w:r>
          </w:p>
        </w:tc>
        <w:tc>
          <w:tcPr>
            <w:tcW w:w="466"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宋体" w:hAnsi="宋体" w:cs="宋体"/>
                <w:kern w:val="0"/>
                <w:sz w:val="16"/>
                <w:szCs w:val="16"/>
              </w:rPr>
            </w:pPr>
            <w:r>
              <w:rPr>
                <w:rFonts w:hint="eastAsia" w:ascii="宋体" w:hAnsi="宋体" w:cs="宋体"/>
                <w:kern w:val="0"/>
                <w:sz w:val="16"/>
                <w:szCs w:val="16"/>
              </w:rPr>
              <w:t xml:space="preserve">8 </w:t>
            </w:r>
          </w:p>
        </w:tc>
        <w:tc>
          <w:tcPr>
            <w:tcW w:w="1819"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宋体" w:hAnsi="宋体" w:cs="宋体"/>
                <w:kern w:val="0"/>
                <w:sz w:val="16"/>
                <w:szCs w:val="16"/>
              </w:rPr>
            </w:pPr>
            <w:r>
              <w:rPr>
                <w:rFonts w:hint="eastAsia" w:ascii="宋体" w:hAnsi="宋体" w:cs="宋体"/>
                <w:kern w:val="0"/>
                <w:sz w:val="16"/>
                <w:szCs w:val="16"/>
              </w:rPr>
              <w:t>项目实施是否产生直接或间接经济效益</w:t>
            </w:r>
          </w:p>
        </w:tc>
        <w:tc>
          <w:tcPr>
            <w:tcW w:w="1435"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宋体" w:hAnsi="宋体" w:cs="宋体"/>
                <w:kern w:val="0"/>
                <w:sz w:val="16"/>
                <w:szCs w:val="16"/>
              </w:rPr>
            </w:pPr>
            <w:r>
              <w:rPr>
                <w:rFonts w:hint="eastAsia" w:ascii="宋体" w:hAnsi="宋体" w:cs="宋体"/>
                <w:kern w:val="0"/>
                <w:sz w:val="16"/>
                <w:szCs w:val="16"/>
              </w:rPr>
              <w:t>对照年初或调整后的绩效目标评价经济效益（8分）</w:t>
            </w:r>
          </w:p>
        </w:tc>
        <w:tc>
          <w:tcPr>
            <w:tcW w:w="652"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宋体" w:hAnsi="宋体" w:cs="宋体"/>
                <w:kern w:val="0"/>
                <w:sz w:val="16"/>
                <w:szCs w:val="16"/>
              </w:rPr>
            </w:pPr>
            <w:r>
              <w:rPr>
                <w:rFonts w:hint="eastAsia" w:ascii="宋体" w:hAnsi="宋体" w:cs="宋体"/>
                <w:kern w:val="0"/>
                <w:sz w:val="16"/>
                <w:szCs w:val="16"/>
              </w:rPr>
              <w:t>8</w:t>
            </w:r>
          </w:p>
        </w:tc>
        <w:tc>
          <w:tcPr>
            <w:tcW w:w="55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cs="宋体"/>
                <w:color w:val="000000"/>
                <w:kern w:val="0"/>
                <w:sz w:val="16"/>
                <w:szCs w:val="16"/>
                <w:lang w:val="en-US" w:eastAsia="zh-CN"/>
              </w:rPr>
              <w:t>8</w:t>
            </w:r>
          </w:p>
        </w:tc>
      </w:tr>
      <w:tr>
        <w:tblPrEx>
          <w:tblLayout w:type="fixed"/>
          <w:tblCellMar>
            <w:top w:w="0" w:type="dxa"/>
            <w:left w:w="108" w:type="dxa"/>
            <w:bottom w:w="0" w:type="dxa"/>
            <w:right w:w="108" w:type="dxa"/>
          </w:tblCellMar>
        </w:tblPrEx>
        <w:trPr>
          <w:trHeight w:val="402" w:hRule="atLeast"/>
        </w:trPr>
        <w:tc>
          <w:tcPr>
            <w:tcW w:w="8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16"/>
                <w:szCs w:val="16"/>
              </w:rPr>
            </w:pPr>
          </w:p>
        </w:tc>
        <w:tc>
          <w:tcPr>
            <w:tcW w:w="6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7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5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宋体" w:hAnsi="宋体" w:cs="宋体"/>
                <w:kern w:val="0"/>
                <w:sz w:val="16"/>
                <w:szCs w:val="16"/>
              </w:rPr>
            </w:pPr>
            <w:r>
              <w:rPr>
                <w:rFonts w:hint="eastAsia" w:ascii="宋体" w:hAnsi="宋体" w:cs="宋体"/>
                <w:kern w:val="0"/>
                <w:sz w:val="16"/>
                <w:szCs w:val="16"/>
              </w:rPr>
              <w:t>社会效益</w:t>
            </w:r>
          </w:p>
        </w:tc>
        <w:tc>
          <w:tcPr>
            <w:tcW w:w="466"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宋体" w:hAnsi="宋体" w:cs="宋体"/>
                <w:kern w:val="0"/>
                <w:sz w:val="16"/>
                <w:szCs w:val="16"/>
              </w:rPr>
            </w:pPr>
            <w:r>
              <w:rPr>
                <w:rFonts w:hint="eastAsia" w:ascii="宋体" w:hAnsi="宋体" w:cs="宋体"/>
                <w:kern w:val="0"/>
                <w:sz w:val="16"/>
                <w:szCs w:val="16"/>
              </w:rPr>
              <w:t xml:space="preserve">8 </w:t>
            </w:r>
          </w:p>
        </w:tc>
        <w:tc>
          <w:tcPr>
            <w:tcW w:w="1819"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宋体" w:hAnsi="宋体" w:cs="宋体"/>
                <w:kern w:val="0"/>
                <w:sz w:val="16"/>
                <w:szCs w:val="16"/>
              </w:rPr>
            </w:pPr>
            <w:r>
              <w:rPr>
                <w:rFonts w:hint="eastAsia" w:ascii="宋体" w:hAnsi="宋体" w:cs="宋体"/>
                <w:kern w:val="0"/>
                <w:sz w:val="16"/>
                <w:szCs w:val="16"/>
              </w:rPr>
              <w:t>项目实施是否产生社会综合效益</w:t>
            </w:r>
          </w:p>
        </w:tc>
        <w:tc>
          <w:tcPr>
            <w:tcW w:w="1435"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宋体" w:hAnsi="宋体" w:cs="宋体"/>
                <w:kern w:val="0"/>
                <w:sz w:val="16"/>
                <w:szCs w:val="16"/>
              </w:rPr>
            </w:pPr>
            <w:r>
              <w:rPr>
                <w:rFonts w:hint="eastAsia" w:ascii="宋体" w:hAnsi="宋体" w:cs="宋体"/>
                <w:kern w:val="0"/>
                <w:sz w:val="16"/>
                <w:szCs w:val="16"/>
              </w:rPr>
              <w:t>对照年初或调整后申报的绩效目标评价社会效益（8分）</w:t>
            </w:r>
          </w:p>
        </w:tc>
        <w:tc>
          <w:tcPr>
            <w:tcW w:w="652"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宋体" w:hAnsi="宋体" w:cs="宋体"/>
                <w:kern w:val="0"/>
                <w:sz w:val="16"/>
                <w:szCs w:val="16"/>
              </w:rPr>
            </w:pPr>
            <w:r>
              <w:rPr>
                <w:rFonts w:hint="eastAsia" w:ascii="宋体" w:hAnsi="宋体" w:cs="宋体"/>
                <w:kern w:val="0"/>
                <w:sz w:val="16"/>
                <w:szCs w:val="16"/>
              </w:rPr>
              <w:t>8</w:t>
            </w:r>
          </w:p>
        </w:tc>
        <w:tc>
          <w:tcPr>
            <w:tcW w:w="55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kern w:val="0"/>
                <w:sz w:val="16"/>
                <w:szCs w:val="16"/>
              </w:rPr>
            </w:pPr>
            <w:r>
              <w:rPr>
                <w:rFonts w:hint="eastAsia" w:ascii="宋体" w:hAnsi="宋体" w:cs="宋体"/>
                <w:color w:val="000000"/>
                <w:kern w:val="0"/>
                <w:sz w:val="16"/>
                <w:szCs w:val="16"/>
              </w:rPr>
              <w:t>8</w:t>
            </w:r>
          </w:p>
        </w:tc>
      </w:tr>
      <w:tr>
        <w:tblPrEx>
          <w:tblLayout w:type="fixed"/>
          <w:tblCellMar>
            <w:top w:w="0" w:type="dxa"/>
            <w:left w:w="108" w:type="dxa"/>
            <w:bottom w:w="0" w:type="dxa"/>
            <w:right w:w="108" w:type="dxa"/>
          </w:tblCellMar>
        </w:tblPrEx>
        <w:trPr>
          <w:trHeight w:val="402" w:hRule="atLeast"/>
        </w:trPr>
        <w:tc>
          <w:tcPr>
            <w:tcW w:w="8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16"/>
                <w:szCs w:val="16"/>
              </w:rPr>
            </w:pPr>
          </w:p>
        </w:tc>
        <w:tc>
          <w:tcPr>
            <w:tcW w:w="6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7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5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宋体" w:hAnsi="宋体" w:cs="宋体"/>
                <w:kern w:val="0"/>
                <w:sz w:val="16"/>
                <w:szCs w:val="16"/>
              </w:rPr>
            </w:pPr>
            <w:r>
              <w:rPr>
                <w:rFonts w:hint="eastAsia" w:ascii="宋体" w:hAnsi="宋体" w:cs="宋体"/>
                <w:kern w:val="0"/>
                <w:sz w:val="16"/>
                <w:szCs w:val="16"/>
              </w:rPr>
              <w:t>环境效益</w:t>
            </w:r>
          </w:p>
        </w:tc>
        <w:tc>
          <w:tcPr>
            <w:tcW w:w="466"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宋体" w:hAnsi="宋体" w:cs="宋体"/>
                <w:kern w:val="0"/>
                <w:sz w:val="16"/>
                <w:szCs w:val="16"/>
              </w:rPr>
            </w:pPr>
            <w:r>
              <w:rPr>
                <w:rFonts w:hint="eastAsia" w:ascii="宋体" w:hAnsi="宋体" w:cs="宋体"/>
                <w:kern w:val="0"/>
                <w:sz w:val="16"/>
                <w:szCs w:val="16"/>
              </w:rPr>
              <w:t xml:space="preserve">8 </w:t>
            </w:r>
          </w:p>
        </w:tc>
        <w:tc>
          <w:tcPr>
            <w:tcW w:w="1819"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宋体" w:hAnsi="宋体" w:cs="宋体"/>
                <w:kern w:val="0"/>
                <w:sz w:val="16"/>
                <w:szCs w:val="16"/>
              </w:rPr>
            </w:pPr>
            <w:r>
              <w:rPr>
                <w:rFonts w:hint="eastAsia" w:ascii="宋体" w:hAnsi="宋体" w:cs="宋体"/>
                <w:kern w:val="0"/>
                <w:sz w:val="16"/>
                <w:szCs w:val="16"/>
              </w:rPr>
              <w:t>项目实施是否对环境产生积极或消极影响</w:t>
            </w:r>
          </w:p>
        </w:tc>
        <w:tc>
          <w:tcPr>
            <w:tcW w:w="1435"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宋体" w:hAnsi="宋体" w:cs="宋体"/>
                <w:kern w:val="0"/>
                <w:sz w:val="16"/>
                <w:szCs w:val="16"/>
              </w:rPr>
            </w:pPr>
            <w:r>
              <w:rPr>
                <w:rFonts w:hint="eastAsia" w:ascii="宋体" w:hAnsi="宋体" w:cs="宋体"/>
                <w:kern w:val="0"/>
                <w:sz w:val="16"/>
                <w:szCs w:val="16"/>
              </w:rPr>
              <w:t>对照年初或调整后申报的绩效目标评价环境效益（8分）</w:t>
            </w:r>
          </w:p>
        </w:tc>
        <w:tc>
          <w:tcPr>
            <w:tcW w:w="652"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宋体" w:hAnsi="宋体" w:cs="宋体"/>
                <w:kern w:val="0"/>
                <w:sz w:val="16"/>
                <w:szCs w:val="16"/>
              </w:rPr>
            </w:pPr>
            <w:r>
              <w:rPr>
                <w:rFonts w:hint="eastAsia" w:ascii="宋体" w:hAnsi="宋体" w:cs="宋体"/>
                <w:kern w:val="0"/>
                <w:sz w:val="16"/>
                <w:szCs w:val="16"/>
              </w:rPr>
              <w:t>8</w:t>
            </w:r>
          </w:p>
        </w:tc>
        <w:tc>
          <w:tcPr>
            <w:tcW w:w="55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kern w:val="0"/>
                <w:sz w:val="16"/>
                <w:szCs w:val="16"/>
              </w:rPr>
            </w:pPr>
            <w:r>
              <w:rPr>
                <w:rFonts w:hint="eastAsia" w:ascii="宋体" w:hAnsi="宋体" w:cs="宋体"/>
                <w:color w:val="000000"/>
                <w:kern w:val="0"/>
                <w:sz w:val="16"/>
                <w:szCs w:val="16"/>
              </w:rPr>
              <w:t>8</w:t>
            </w:r>
          </w:p>
        </w:tc>
      </w:tr>
      <w:tr>
        <w:tblPrEx>
          <w:tblLayout w:type="fixed"/>
          <w:tblCellMar>
            <w:top w:w="0" w:type="dxa"/>
            <w:left w:w="108" w:type="dxa"/>
            <w:bottom w:w="0" w:type="dxa"/>
            <w:right w:w="108" w:type="dxa"/>
          </w:tblCellMar>
        </w:tblPrEx>
        <w:trPr>
          <w:trHeight w:val="402" w:hRule="atLeast"/>
        </w:trPr>
        <w:tc>
          <w:tcPr>
            <w:tcW w:w="8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16"/>
                <w:szCs w:val="16"/>
              </w:rPr>
            </w:pPr>
          </w:p>
        </w:tc>
        <w:tc>
          <w:tcPr>
            <w:tcW w:w="6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7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5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宋体" w:hAnsi="宋体" w:cs="宋体"/>
                <w:kern w:val="0"/>
                <w:sz w:val="16"/>
                <w:szCs w:val="16"/>
              </w:rPr>
            </w:pPr>
            <w:r>
              <w:rPr>
                <w:rFonts w:hint="eastAsia" w:ascii="宋体" w:hAnsi="宋体" w:cs="宋体"/>
                <w:kern w:val="0"/>
                <w:sz w:val="16"/>
                <w:szCs w:val="16"/>
              </w:rPr>
              <w:t>可持续影响</w:t>
            </w:r>
          </w:p>
        </w:tc>
        <w:tc>
          <w:tcPr>
            <w:tcW w:w="466"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宋体" w:hAnsi="宋体" w:cs="宋体"/>
                <w:kern w:val="0"/>
                <w:sz w:val="16"/>
                <w:szCs w:val="16"/>
              </w:rPr>
            </w:pPr>
            <w:r>
              <w:rPr>
                <w:rFonts w:hint="eastAsia" w:ascii="宋体" w:hAnsi="宋体" w:cs="宋体"/>
                <w:kern w:val="0"/>
                <w:sz w:val="16"/>
                <w:szCs w:val="16"/>
              </w:rPr>
              <w:t xml:space="preserve">8 </w:t>
            </w:r>
          </w:p>
        </w:tc>
        <w:tc>
          <w:tcPr>
            <w:tcW w:w="1819"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宋体" w:hAnsi="宋体" w:cs="宋体"/>
                <w:kern w:val="0"/>
                <w:sz w:val="16"/>
                <w:szCs w:val="16"/>
              </w:rPr>
            </w:pPr>
            <w:r>
              <w:rPr>
                <w:rFonts w:hint="eastAsia" w:ascii="宋体" w:hAnsi="宋体" w:cs="宋体"/>
                <w:kern w:val="0"/>
                <w:sz w:val="16"/>
                <w:szCs w:val="16"/>
              </w:rPr>
              <w:t>项目实施对人、自然、资源是否带来可持续影响</w:t>
            </w:r>
          </w:p>
        </w:tc>
        <w:tc>
          <w:tcPr>
            <w:tcW w:w="1435"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宋体" w:hAnsi="宋体" w:cs="宋体"/>
                <w:kern w:val="0"/>
                <w:sz w:val="16"/>
                <w:szCs w:val="16"/>
              </w:rPr>
            </w:pPr>
            <w:r>
              <w:rPr>
                <w:rFonts w:hint="eastAsia" w:ascii="宋体" w:hAnsi="宋体" w:cs="宋体"/>
                <w:kern w:val="0"/>
                <w:sz w:val="16"/>
                <w:szCs w:val="16"/>
              </w:rPr>
              <w:t>对照年初或调整后申报的绩效目标评价可持续影响（8分）</w:t>
            </w:r>
          </w:p>
        </w:tc>
        <w:tc>
          <w:tcPr>
            <w:tcW w:w="652"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宋体" w:hAnsi="宋体" w:cs="宋体"/>
                <w:kern w:val="0"/>
                <w:sz w:val="16"/>
                <w:szCs w:val="16"/>
              </w:rPr>
            </w:pPr>
            <w:r>
              <w:rPr>
                <w:rFonts w:hint="eastAsia" w:ascii="宋体" w:hAnsi="宋体" w:cs="宋体"/>
                <w:kern w:val="0"/>
                <w:sz w:val="16"/>
                <w:szCs w:val="16"/>
              </w:rPr>
              <w:t>8</w:t>
            </w:r>
          </w:p>
        </w:tc>
        <w:tc>
          <w:tcPr>
            <w:tcW w:w="55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kern w:val="0"/>
                <w:sz w:val="16"/>
                <w:szCs w:val="16"/>
              </w:rPr>
            </w:pPr>
            <w:r>
              <w:rPr>
                <w:rFonts w:hint="eastAsia" w:ascii="宋体" w:hAnsi="宋体" w:cs="宋体"/>
                <w:color w:val="000000"/>
                <w:kern w:val="0"/>
                <w:sz w:val="16"/>
                <w:szCs w:val="16"/>
              </w:rPr>
              <w:t>8</w:t>
            </w:r>
          </w:p>
        </w:tc>
      </w:tr>
      <w:tr>
        <w:tblPrEx>
          <w:tblLayout w:type="fixed"/>
          <w:tblCellMar>
            <w:top w:w="0" w:type="dxa"/>
            <w:left w:w="108" w:type="dxa"/>
            <w:bottom w:w="0" w:type="dxa"/>
            <w:right w:w="108" w:type="dxa"/>
          </w:tblCellMar>
        </w:tblPrEx>
        <w:trPr>
          <w:trHeight w:val="402" w:hRule="atLeast"/>
        </w:trPr>
        <w:tc>
          <w:tcPr>
            <w:tcW w:w="8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16"/>
                <w:szCs w:val="16"/>
              </w:rPr>
            </w:pPr>
          </w:p>
        </w:tc>
        <w:tc>
          <w:tcPr>
            <w:tcW w:w="6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7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5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p>
        </w:tc>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宋体" w:hAnsi="宋体" w:cs="宋体"/>
                <w:kern w:val="0"/>
                <w:sz w:val="16"/>
                <w:szCs w:val="16"/>
              </w:rPr>
            </w:pPr>
            <w:r>
              <w:rPr>
                <w:rFonts w:hint="eastAsia" w:ascii="宋体" w:hAnsi="宋体" w:cs="宋体"/>
                <w:kern w:val="0"/>
                <w:sz w:val="16"/>
                <w:szCs w:val="16"/>
              </w:rPr>
              <w:t>服务对象满意度</w:t>
            </w:r>
          </w:p>
        </w:tc>
        <w:tc>
          <w:tcPr>
            <w:tcW w:w="466"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宋体" w:hAnsi="宋体" w:cs="宋体"/>
                <w:kern w:val="0"/>
                <w:sz w:val="16"/>
                <w:szCs w:val="16"/>
              </w:rPr>
            </w:pPr>
            <w:r>
              <w:rPr>
                <w:rFonts w:hint="eastAsia" w:ascii="宋体" w:hAnsi="宋体" w:cs="宋体"/>
                <w:kern w:val="0"/>
                <w:sz w:val="16"/>
                <w:szCs w:val="16"/>
              </w:rPr>
              <w:t xml:space="preserve">8 </w:t>
            </w:r>
          </w:p>
        </w:tc>
        <w:tc>
          <w:tcPr>
            <w:tcW w:w="1819"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宋体" w:hAnsi="宋体" w:cs="宋体"/>
                <w:kern w:val="0"/>
                <w:sz w:val="16"/>
                <w:szCs w:val="16"/>
              </w:rPr>
            </w:pPr>
            <w:r>
              <w:rPr>
                <w:rFonts w:hint="eastAsia" w:ascii="宋体" w:hAnsi="宋体" w:cs="宋体"/>
                <w:kern w:val="0"/>
                <w:sz w:val="16"/>
                <w:szCs w:val="16"/>
              </w:rPr>
              <w:t>项目预期服务对象对项目实施的满意程度</w:t>
            </w:r>
          </w:p>
        </w:tc>
        <w:tc>
          <w:tcPr>
            <w:tcW w:w="1435"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宋体" w:hAnsi="宋体" w:cs="宋体"/>
                <w:kern w:val="0"/>
                <w:sz w:val="16"/>
                <w:szCs w:val="16"/>
              </w:rPr>
            </w:pPr>
            <w:r>
              <w:rPr>
                <w:rFonts w:hint="eastAsia" w:ascii="宋体" w:hAnsi="宋体" w:cs="宋体"/>
                <w:kern w:val="0"/>
                <w:sz w:val="16"/>
                <w:szCs w:val="16"/>
              </w:rPr>
              <w:t>对照年初或调整后申报的绩效目标评价服务对象满意度（8分）</w:t>
            </w:r>
          </w:p>
        </w:tc>
        <w:tc>
          <w:tcPr>
            <w:tcW w:w="652"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宋体" w:hAnsi="宋体" w:cs="宋体"/>
                <w:kern w:val="0"/>
                <w:sz w:val="16"/>
                <w:szCs w:val="16"/>
              </w:rPr>
            </w:pPr>
            <w:r>
              <w:rPr>
                <w:rFonts w:hint="eastAsia" w:ascii="宋体" w:hAnsi="宋体" w:cs="宋体"/>
                <w:kern w:val="0"/>
                <w:sz w:val="16"/>
                <w:szCs w:val="16"/>
              </w:rPr>
              <w:t>8</w:t>
            </w:r>
          </w:p>
        </w:tc>
        <w:tc>
          <w:tcPr>
            <w:tcW w:w="55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000000"/>
                <w:kern w:val="0"/>
                <w:sz w:val="16"/>
                <w:szCs w:val="16"/>
              </w:rPr>
            </w:pPr>
          </w:p>
          <w:p>
            <w:pPr>
              <w:widowControl/>
              <w:jc w:val="center"/>
              <w:textAlignment w:val="center"/>
              <w:rPr>
                <w:rFonts w:hint="default" w:ascii="宋体" w:hAnsi="宋体" w:cs="宋体"/>
                <w:kern w:val="0"/>
                <w:sz w:val="16"/>
                <w:szCs w:val="16"/>
                <w:lang w:val="en-US"/>
              </w:rPr>
            </w:pPr>
            <w:r>
              <w:rPr>
                <w:rFonts w:hint="eastAsia" w:ascii="宋体" w:hAnsi="宋体" w:cs="宋体"/>
                <w:color w:val="000000"/>
                <w:kern w:val="0"/>
                <w:sz w:val="16"/>
                <w:szCs w:val="16"/>
                <w:lang w:val="en-US" w:eastAsia="zh-CN"/>
              </w:rPr>
              <w:t>6.5</w:t>
            </w:r>
          </w:p>
        </w:tc>
      </w:tr>
      <w:tr>
        <w:tblPrEx>
          <w:tblLayout w:type="fixed"/>
          <w:tblCellMar>
            <w:top w:w="0" w:type="dxa"/>
            <w:left w:w="108" w:type="dxa"/>
            <w:bottom w:w="0" w:type="dxa"/>
            <w:right w:w="108" w:type="dxa"/>
          </w:tblCellMar>
        </w:tblPrEx>
        <w:trPr>
          <w:trHeight w:val="402" w:hRule="atLeast"/>
        </w:trPr>
        <w:tc>
          <w:tcPr>
            <w:tcW w:w="890" w:type="dxa"/>
            <w:tcBorders>
              <w:top w:val="single" w:color="auto" w:sz="4" w:space="0"/>
              <w:left w:val="single" w:color="auto" w:sz="4" w:space="0"/>
              <w:bottom w:val="single" w:color="000000" w:sz="4" w:space="0"/>
              <w:right w:val="single" w:color="auto" w:sz="4" w:space="0"/>
            </w:tcBorders>
            <w:noWrap w:val="0"/>
            <w:vAlign w:val="center"/>
          </w:tcPr>
          <w:p>
            <w:pPr>
              <w:widowControl/>
              <w:spacing w:line="240" w:lineRule="exact"/>
              <w:jc w:val="left"/>
              <w:rPr>
                <w:rFonts w:ascii="宋体" w:hAnsi="宋体" w:cs="宋体"/>
                <w:kern w:val="0"/>
                <w:sz w:val="24"/>
              </w:rPr>
            </w:pPr>
            <w:r>
              <w:rPr>
                <w:rFonts w:hint="eastAsia" w:ascii="宋体" w:hAnsi="宋体" w:cs="宋体"/>
                <w:kern w:val="0"/>
                <w:sz w:val="20"/>
                <w:szCs w:val="20"/>
              </w:rPr>
              <w:t>总分</w:t>
            </w:r>
          </w:p>
        </w:tc>
        <w:tc>
          <w:tcPr>
            <w:tcW w:w="626" w:type="dxa"/>
            <w:tcBorders>
              <w:top w:val="single" w:color="auto" w:sz="4" w:space="0"/>
              <w:left w:val="single" w:color="auto" w:sz="4" w:space="0"/>
              <w:bottom w:val="single" w:color="000000" w:sz="4" w:space="0"/>
              <w:right w:val="single" w:color="auto" w:sz="4" w:space="0"/>
            </w:tcBorders>
            <w:noWrap w:val="0"/>
            <w:vAlign w:val="center"/>
          </w:tcPr>
          <w:p>
            <w:pPr>
              <w:widowControl/>
              <w:spacing w:line="240" w:lineRule="exact"/>
              <w:jc w:val="right"/>
              <w:rPr>
                <w:rFonts w:ascii="宋体" w:hAnsi="宋体" w:cs="宋体"/>
                <w:kern w:val="0"/>
                <w:sz w:val="18"/>
                <w:szCs w:val="18"/>
              </w:rPr>
            </w:pPr>
            <w:r>
              <w:rPr>
                <w:rFonts w:hint="eastAsia" w:ascii="宋体" w:hAnsi="宋体" w:cs="宋体"/>
                <w:kern w:val="0"/>
                <w:sz w:val="18"/>
                <w:szCs w:val="18"/>
              </w:rPr>
              <w:t>100</w:t>
            </w:r>
          </w:p>
        </w:tc>
        <w:tc>
          <w:tcPr>
            <w:tcW w:w="72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　</w:t>
            </w:r>
          </w:p>
        </w:tc>
        <w:tc>
          <w:tcPr>
            <w:tcW w:w="50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right"/>
              <w:rPr>
                <w:rFonts w:ascii="宋体" w:hAnsi="宋体" w:cs="宋体"/>
                <w:kern w:val="0"/>
                <w:sz w:val="18"/>
                <w:szCs w:val="18"/>
              </w:rPr>
            </w:pPr>
            <w:r>
              <w:rPr>
                <w:rFonts w:hint="eastAsia" w:ascii="宋体" w:hAnsi="宋体" w:cs="宋体"/>
                <w:kern w:val="0"/>
                <w:sz w:val="18"/>
                <w:szCs w:val="18"/>
              </w:rPr>
              <w:t>100</w:t>
            </w:r>
          </w:p>
        </w:tc>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宋体" w:hAnsi="宋体" w:cs="宋体"/>
                <w:kern w:val="0"/>
                <w:sz w:val="16"/>
                <w:szCs w:val="16"/>
              </w:rPr>
            </w:pPr>
            <w:r>
              <w:rPr>
                <w:rFonts w:hint="eastAsia" w:ascii="宋体" w:hAnsi="宋体" w:cs="宋体"/>
                <w:kern w:val="0"/>
                <w:sz w:val="16"/>
                <w:szCs w:val="16"/>
              </w:rPr>
              <w:t>　</w:t>
            </w:r>
          </w:p>
        </w:tc>
        <w:tc>
          <w:tcPr>
            <w:tcW w:w="466"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宋体" w:hAnsi="宋体" w:cs="宋体"/>
                <w:kern w:val="0"/>
                <w:sz w:val="16"/>
                <w:szCs w:val="16"/>
              </w:rPr>
            </w:pPr>
            <w:r>
              <w:rPr>
                <w:rFonts w:hint="eastAsia" w:ascii="宋体" w:hAnsi="宋体" w:cs="宋体"/>
                <w:kern w:val="0"/>
                <w:sz w:val="16"/>
                <w:szCs w:val="16"/>
              </w:rPr>
              <w:t>100</w:t>
            </w:r>
          </w:p>
        </w:tc>
        <w:tc>
          <w:tcPr>
            <w:tcW w:w="1819"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宋体" w:hAnsi="宋体" w:cs="宋体"/>
                <w:kern w:val="0"/>
                <w:sz w:val="16"/>
                <w:szCs w:val="16"/>
              </w:rPr>
            </w:pPr>
            <w:r>
              <w:rPr>
                <w:rFonts w:hint="eastAsia" w:ascii="宋体" w:hAnsi="宋体" w:cs="宋体"/>
                <w:kern w:val="0"/>
                <w:sz w:val="16"/>
                <w:szCs w:val="16"/>
              </w:rPr>
              <w:t>　</w:t>
            </w:r>
          </w:p>
        </w:tc>
        <w:tc>
          <w:tcPr>
            <w:tcW w:w="1435"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宋体" w:hAnsi="宋体" w:cs="宋体"/>
                <w:kern w:val="0"/>
                <w:sz w:val="16"/>
                <w:szCs w:val="16"/>
              </w:rPr>
            </w:pPr>
            <w:r>
              <w:rPr>
                <w:rFonts w:hint="eastAsia" w:ascii="宋体" w:hAnsi="宋体" w:cs="宋体"/>
                <w:kern w:val="0"/>
                <w:sz w:val="16"/>
                <w:szCs w:val="16"/>
              </w:rPr>
              <w:t>　</w:t>
            </w:r>
          </w:p>
        </w:tc>
        <w:tc>
          <w:tcPr>
            <w:tcW w:w="652"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ascii="宋体" w:hAnsi="宋体" w:cs="宋体"/>
                <w:kern w:val="0"/>
                <w:sz w:val="16"/>
                <w:szCs w:val="16"/>
              </w:rPr>
            </w:pPr>
            <w:r>
              <w:rPr>
                <w:rFonts w:hint="eastAsia" w:ascii="宋体" w:hAnsi="宋体" w:cs="宋体"/>
                <w:kern w:val="0"/>
                <w:sz w:val="16"/>
                <w:szCs w:val="16"/>
              </w:rPr>
              <w:t>100</w:t>
            </w:r>
          </w:p>
        </w:tc>
        <w:tc>
          <w:tcPr>
            <w:tcW w:w="55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宋体" w:hAnsi="宋体" w:eastAsia="宋体" w:cs="宋体"/>
                <w:kern w:val="0"/>
                <w:sz w:val="16"/>
                <w:szCs w:val="16"/>
                <w:lang w:val="en-US" w:eastAsia="zh-CN"/>
              </w:rPr>
            </w:pPr>
            <w:r>
              <w:rPr>
                <w:rFonts w:hint="eastAsia" w:ascii="宋体" w:hAnsi="宋体" w:cs="宋体"/>
                <w:color w:val="000000"/>
                <w:kern w:val="0"/>
                <w:sz w:val="16"/>
                <w:szCs w:val="16"/>
                <w:lang w:val="en-US" w:eastAsia="zh-CN"/>
              </w:rPr>
              <w:t>89.5</w:t>
            </w:r>
          </w:p>
        </w:tc>
      </w:tr>
    </w:tbl>
    <w:p>
      <w:pPr>
        <w:ind w:firstLine="640" w:firstLineChars="200"/>
        <w:rPr>
          <w:rFonts w:hint="eastAsia" w:ascii="黑体" w:hAnsi="黑体" w:eastAsia="黑体" w:cs="黑体"/>
          <w:b w:val="0"/>
          <w:bCs/>
          <w:sz w:val="32"/>
          <w:szCs w:val="32"/>
          <w:lang w:eastAsia="zh-CN"/>
        </w:rPr>
      </w:pPr>
    </w:p>
    <w:p>
      <w:pPr>
        <w:ind w:firstLine="640" w:firstLineChars="200"/>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十三、</w:t>
      </w:r>
      <w:r>
        <w:rPr>
          <w:rFonts w:hint="eastAsia" w:ascii="黑体" w:hAnsi="黑体" w:eastAsia="黑体" w:cs="黑体"/>
          <w:b w:val="0"/>
          <w:bCs/>
          <w:sz w:val="32"/>
          <w:szCs w:val="32"/>
        </w:rPr>
        <w:t>其他重要事项情况说明</w:t>
      </w:r>
      <w:r>
        <w:rPr>
          <w:rFonts w:hint="eastAsia" w:ascii="黑体" w:hAnsi="黑体" w:eastAsia="黑体" w:cs="黑体"/>
          <w:b w:val="0"/>
          <w:bCs/>
          <w:sz w:val="32"/>
          <w:szCs w:val="32"/>
          <w:lang w:eastAsia="zh-CN"/>
        </w:rPr>
        <w:t>。</w:t>
      </w:r>
    </w:p>
    <w:p>
      <w:pPr>
        <w:ind w:firstLine="643" w:firstLineChars="200"/>
        <w:rPr>
          <w:rFonts w:hint="eastAsia" w:ascii="楷体" w:hAnsi="楷体" w:eastAsia="楷体" w:cs="楷体"/>
          <w:b/>
          <w:sz w:val="32"/>
          <w:szCs w:val="32"/>
        </w:rPr>
      </w:pPr>
      <w:bookmarkStart w:id="88" w:name="_Toc23598_WPSOffice_Level2"/>
      <w:bookmarkStart w:id="89" w:name="_Toc5978_WPSOffice_Level2"/>
      <w:bookmarkStart w:id="90" w:name="_Toc18325_WPSOffice_Level2"/>
      <w:bookmarkStart w:id="91" w:name="_Toc15565_WPSOffice_Level2"/>
      <w:bookmarkStart w:id="92" w:name="_Toc32639_WPSOffice_Level2"/>
      <w:bookmarkStart w:id="93" w:name="_Toc15262_WPSOffice_Level2"/>
      <w:r>
        <w:rPr>
          <w:rFonts w:hint="eastAsia" w:ascii="楷体" w:hAnsi="楷体" w:eastAsia="楷体" w:cs="楷体"/>
          <w:b/>
          <w:sz w:val="32"/>
          <w:szCs w:val="32"/>
          <w:lang w:eastAsia="zh-CN"/>
        </w:rPr>
        <w:t>（一）</w:t>
      </w:r>
      <w:r>
        <w:rPr>
          <w:rFonts w:hint="eastAsia" w:ascii="楷体" w:hAnsi="楷体" w:eastAsia="楷体" w:cs="楷体"/>
          <w:b/>
          <w:sz w:val="32"/>
          <w:szCs w:val="32"/>
        </w:rPr>
        <w:t>机关运行经费支出情况。</w:t>
      </w:r>
      <w:bookmarkEnd w:id="88"/>
      <w:bookmarkEnd w:id="89"/>
      <w:bookmarkEnd w:id="90"/>
      <w:bookmarkEnd w:id="91"/>
      <w:bookmarkEnd w:id="92"/>
      <w:bookmarkEnd w:id="93"/>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ˎ̥" w:eastAsia="仿宋_GB2312"/>
          <w:sz w:val="32"/>
          <w:szCs w:val="32"/>
          <w:lang w:eastAsia="zh-CN"/>
        </w:rPr>
        <w:t>2020年度万宁市人民检察院</w:t>
      </w:r>
      <w:r>
        <w:rPr>
          <w:rFonts w:hint="eastAsia" w:ascii="仿宋_GB2312" w:hAnsi="ˎ̥" w:eastAsia="仿宋_GB2312"/>
          <w:sz w:val="32"/>
          <w:szCs w:val="32"/>
        </w:rPr>
        <w:t>机关运行经费</w:t>
      </w:r>
      <w:r>
        <w:rPr>
          <w:rFonts w:hint="eastAsia" w:ascii="仿宋_GB2312" w:hAnsi="ˎ̥" w:eastAsia="仿宋_GB2312"/>
          <w:sz w:val="32"/>
          <w:szCs w:val="32"/>
          <w:lang w:val="en-US" w:eastAsia="zh-CN"/>
        </w:rPr>
        <w:t>354.88</w:t>
      </w:r>
      <w:r>
        <w:rPr>
          <w:rFonts w:hint="eastAsia" w:ascii="仿宋_GB2312" w:hAnsi="ˎ̥" w:eastAsia="仿宋_GB2312"/>
          <w:sz w:val="32"/>
          <w:szCs w:val="32"/>
        </w:rPr>
        <w:t>万元（为部门决算中行政单位和参公事业单位使用一般公共预算财政拨款安排的基本支出中的日常公用经费支出</w:t>
      </w:r>
      <w:r>
        <w:rPr>
          <w:rFonts w:hint="eastAsia" w:ascii="仿宋_GB2312" w:hAnsi="ˎ̥" w:eastAsia="仿宋_GB2312"/>
          <w:sz w:val="32"/>
          <w:szCs w:val="32"/>
          <w:lang w:eastAsia="zh-CN"/>
        </w:rPr>
        <w:t>，事业单位没有机关运行经费支出</w:t>
      </w:r>
      <w:r>
        <w:rPr>
          <w:rFonts w:hint="eastAsia" w:ascii="仿宋_GB2312" w:hAnsi="ˎ̥" w:eastAsia="仿宋_GB2312"/>
          <w:sz w:val="32"/>
          <w:szCs w:val="32"/>
        </w:rPr>
        <w:t>），比</w:t>
      </w:r>
      <w:r>
        <w:rPr>
          <w:rFonts w:hint="eastAsia" w:ascii="仿宋_GB2312" w:hAnsi="ˎ̥" w:eastAsia="仿宋_GB2312"/>
          <w:sz w:val="32"/>
          <w:szCs w:val="32"/>
          <w:lang w:eastAsia="zh-CN"/>
        </w:rPr>
        <w:t>年初预算</w:t>
      </w:r>
      <w:r>
        <w:rPr>
          <w:rFonts w:hint="eastAsia" w:ascii="仿宋_GB2312" w:hAnsi="ˎ̥" w:eastAsia="仿宋_GB2312"/>
          <w:sz w:val="32"/>
          <w:szCs w:val="32"/>
        </w:rPr>
        <w:t>增加</w:t>
      </w:r>
      <w:r>
        <w:rPr>
          <w:rFonts w:hint="eastAsia" w:ascii="仿宋_GB2312" w:hAnsi="ˎ̥" w:eastAsia="仿宋_GB2312"/>
          <w:sz w:val="32"/>
          <w:szCs w:val="32"/>
          <w:lang w:val="en-US" w:eastAsia="zh-CN"/>
        </w:rPr>
        <w:t>56.75</w:t>
      </w:r>
      <w:r>
        <w:rPr>
          <w:rFonts w:hint="eastAsia" w:ascii="仿宋_GB2312" w:hAnsi="ˎ̥" w:eastAsia="仿宋_GB2312"/>
          <w:sz w:val="32"/>
          <w:szCs w:val="32"/>
        </w:rPr>
        <w:t>万元，增长</w:t>
      </w:r>
      <w:r>
        <w:rPr>
          <w:rFonts w:hint="eastAsia" w:ascii="仿宋_GB2312" w:hAnsi="ˎ̥" w:eastAsia="仿宋_GB2312"/>
          <w:sz w:val="32"/>
          <w:szCs w:val="32"/>
          <w:lang w:val="en-US" w:eastAsia="zh-CN"/>
        </w:rPr>
        <w:t>19.04</w:t>
      </w:r>
      <w:r>
        <w:rPr>
          <w:rFonts w:hint="eastAsia" w:ascii="仿宋_GB2312" w:hAnsi="ˎ̥" w:eastAsia="仿宋_GB2312"/>
          <w:sz w:val="32"/>
          <w:szCs w:val="32"/>
        </w:rPr>
        <w:t>%。主要原因是：</w:t>
      </w:r>
      <w:r>
        <w:rPr>
          <w:rFonts w:hint="eastAsia" w:ascii="仿宋_GB2312" w:hAnsi="仿宋_GB2312" w:eastAsia="仿宋_GB2312" w:cs="仿宋_GB2312"/>
          <w:sz w:val="32"/>
          <w:szCs w:val="32"/>
        </w:rPr>
        <w:t>物业管理费、差旅费等机关运行费用上升。</w:t>
      </w:r>
    </w:p>
    <w:p>
      <w:pPr>
        <w:ind w:firstLine="643" w:firstLineChars="200"/>
        <w:rPr>
          <w:rFonts w:hint="eastAsia" w:ascii="楷体" w:hAnsi="楷体" w:eastAsia="楷体" w:cs="楷体"/>
          <w:b/>
          <w:sz w:val="32"/>
          <w:szCs w:val="32"/>
        </w:rPr>
      </w:pPr>
      <w:bookmarkStart w:id="94" w:name="_Toc23966_WPSOffice_Level2"/>
      <w:bookmarkStart w:id="95" w:name="_Toc32689_WPSOffice_Level2"/>
      <w:bookmarkStart w:id="96" w:name="_Toc25333_WPSOffice_Level2"/>
      <w:bookmarkStart w:id="97" w:name="_Toc3131_WPSOffice_Level2"/>
      <w:bookmarkStart w:id="98" w:name="_Toc30383_WPSOffice_Level2"/>
      <w:bookmarkStart w:id="99" w:name="_Toc13084_WPSOffice_Level2"/>
      <w:r>
        <w:rPr>
          <w:rFonts w:hint="eastAsia" w:ascii="楷体" w:hAnsi="楷体" w:eastAsia="楷体" w:cs="楷体"/>
          <w:b/>
          <w:sz w:val="32"/>
          <w:szCs w:val="32"/>
          <w:lang w:eastAsia="zh-CN"/>
        </w:rPr>
        <w:t>（二）</w:t>
      </w:r>
      <w:r>
        <w:rPr>
          <w:rFonts w:hint="eastAsia" w:ascii="楷体" w:hAnsi="楷体" w:eastAsia="楷体" w:cs="楷体"/>
          <w:b/>
          <w:sz w:val="32"/>
          <w:szCs w:val="32"/>
        </w:rPr>
        <w:t>政府采购支出情况。</w:t>
      </w:r>
      <w:bookmarkEnd w:id="94"/>
      <w:bookmarkEnd w:id="95"/>
      <w:bookmarkEnd w:id="96"/>
      <w:bookmarkEnd w:id="97"/>
      <w:bookmarkEnd w:id="98"/>
      <w:bookmarkEnd w:id="99"/>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lang w:eastAsia="zh-CN"/>
        </w:rPr>
        <w:t>2020年度万宁市人民检察院</w:t>
      </w:r>
      <w:r>
        <w:rPr>
          <w:rFonts w:hint="eastAsia" w:ascii="仿宋_GB2312" w:hAnsi="ˎ̥" w:eastAsia="仿宋_GB2312"/>
          <w:sz w:val="32"/>
          <w:szCs w:val="32"/>
        </w:rPr>
        <w:t>政府采购支出总额</w:t>
      </w:r>
      <w:r>
        <w:rPr>
          <w:rFonts w:hint="eastAsia" w:ascii="仿宋_GB2312" w:hAnsi="ˎ̥" w:eastAsia="仿宋_GB2312"/>
          <w:sz w:val="32"/>
          <w:szCs w:val="32"/>
          <w:lang w:val="en-US" w:eastAsia="zh-CN"/>
        </w:rPr>
        <w:t>110.49</w:t>
      </w:r>
      <w:r>
        <w:rPr>
          <w:rFonts w:hint="eastAsia" w:ascii="仿宋_GB2312" w:hAnsi="ˎ̥" w:eastAsia="仿宋_GB2312"/>
          <w:sz w:val="32"/>
          <w:szCs w:val="32"/>
        </w:rPr>
        <w:t>万元，其中：政府采购货物支出</w:t>
      </w:r>
      <w:r>
        <w:rPr>
          <w:rFonts w:hint="eastAsia" w:ascii="仿宋_GB2312" w:hAnsi="ˎ̥" w:eastAsia="仿宋_GB2312"/>
          <w:sz w:val="32"/>
          <w:szCs w:val="32"/>
          <w:lang w:val="en-US" w:eastAsia="zh-CN"/>
        </w:rPr>
        <w:t>110.49</w:t>
      </w:r>
      <w:r>
        <w:rPr>
          <w:rFonts w:hint="eastAsia" w:ascii="仿宋_GB2312" w:hAnsi="ˎ̥" w:eastAsia="仿宋_GB2312"/>
          <w:sz w:val="32"/>
          <w:szCs w:val="32"/>
        </w:rPr>
        <w:t>万元。授予中小企业合同金额</w:t>
      </w:r>
      <w:r>
        <w:rPr>
          <w:rFonts w:hint="eastAsia" w:ascii="仿宋_GB2312" w:hAnsi="ˎ̥" w:eastAsia="仿宋_GB2312"/>
          <w:sz w:val="32"/>
          <w:szCs w:val="32"/>
          <w:lang w:val="en-US" w:eastAsia="zh-CN"/>
        </w:rPr>
        <w:t>110.49</w:t>
      </w:r>
      <w:r>
        <w:rPr>
          <w:rFonts w:hint="eastAsia" w:ascii="仿宋_GB2312" w:hAnsi="ˎ̥" w:eastAsia="仿宋_GB2312"/>
          <w:sz w:val="32"/>
          <w:szCs w:val="32"/>
        </w:rPr>
        <w:t>万元，占政府采购支出总额的</w:t>
      </w:r>
      <w:r>
        <w:rPr>
          <w:rFonts w:hint="eastAsia" w:ascii="仿宋_GB2312" w:hAnsi="ˎ̥" w:eastAsia="仿宋_GB2312"/>
          <w:sz w:val="32"/>
          <w:szCs w:val="32"/>
          <w:lang w:val="en-US" w:eastAsia="zh-CN"/>
        </w:rPr>
        <w:t>100</w:t>
      </w:r>
      <w:r>
        <w:rPr>
          <w:rFonts w:hint="eastAsia" w:ascii="仿宋_GB2312" w:hAnsi="ˎ̥" w:eastAsia="仿宋_GB2312"/>
          <w:sz w:val="32"/>
          <w:szCs w:val="32"/>
        </w:rPr>
        <w:t>%</w:t>
      </w:r>
      <w:r>
        <w:rPr>
          <w:rFonts w:hint="eastAsia" w:ascii="仿宋_GB2312" w:hAnsi="ˎ̥" w:eastAsia="仿宋_GB2312"/>
          <w:sz w:val="32"/>
          <w:szCs w:val="32"/>
          <w:lang w:eastAsia="zh-CN"/>
        </w:rPr>
        <w:t>。</w:t>
      </w:r>
    </w:p>
    <w:p>
      <w:pPr>
        <w:ind w:firstLine="643" w:firstLineChars="200"/>
        <w:rPr>
          <w:rFonts w:hint="eastAsia" w:ascii="楷体" w:hAnsi="楷体" w:eastAsia="楷体" w:cs="楷体"/>
          <w:b/>
          <w:sz w:val="32"/>
          <w:szCs w:val="32"/>
        </w:rPr>
      </w:pPr>
      <w:bookmarkStart w:id="100" w:name="_Toc6016_WPSOffice_Level2"/>
      <w:bookmarkStart w:id="101" w:name="_Toc15129_WPSOffice_Level2"/>
      <w:bookmarkStart w:id="102" w:name="_Toc527_WPSOffice_Level2"/>
      <w:bookmarkStart w:id="103" w:name="_Toc29584_WPSOffice_Level2"/>
      <w:bookmarkStart w:id="104" w:name="_Toc19989_WPSOffice_Level2"/>
      <w:bookmarkStart w:id="105" w:name="_Toc10902_WPSOffice_Level2"/>
      <w:r>
        <w:rPr>
          <w:rFonts w:hint="eastAsia" w:ascii="楷体" w:hAnsi="楷体" w:eastAsia="楷体" w:cs="楷体"/>
          <w:b/>
          <w:sz w:val="32"/>
          <w:szCs w:val="32"/>
          <w:lang w:eastAsia="zh-CN"/>
        </w:rPr>
        <w:t>（三）</w:t>
      </w:r>
      <w:r>
        <w:rPr>
          <w:rFonts w:hint="eastAsia" w:ascii="楷体" w:hAnsi="楷体" w:eastAsia="楷体" w:cs="楷体"/>
          <w:b/>
          <w:sz w:val="32"/>
          <w:szCs w:val="32"/>
        </w:rPr>
        <w:t>国有资产占用情况。</w:t>
      </w:r>
      <w:bookmarkEnd w:id="100"/>
      <w:bookmarkEnd w:id="101"/>
      <w:bookmarkEnd w:id="102"/>
      <w:bookmarkEnd w:id="103"/>
      <w:bookmarkEnd w:id="104"/>
      <w:bookmarkEnd w:id="105"/>
    </w:p>
    <w:p>
      <w:pPr>
        <w:spacing w:line="578" w:lineRule="exact"/>
        <w:ind w:firstLine="640" w:firstLineChars="200"/>
        <w:rPr>
          <w:rFonts w:hint="eastAsia" w:ascii="仿宋_GB2312" w:hAnsi="仿宋_GB2312" w:eastAsia="仿宋_GB2312" w:cs="仿宋_GB2312"/>
          <w:sz w:val="32"/>
          <w:szCs w:val="32"/>
          <w:lang w:eastAsia="zh-CN"/>
        </w:rPr>
      </w:pPr>
      <w:r>
        <w:rPr>
          <w:rFonts w:hint="eastAsia" w:ascii="仿宋_GB2312" w:hAnsi="ˎ̥" w:eastAsia="仿宋_GB2312"/>
          <w:sz w:val="32"/>
          <w:szCs w:val="32"/>
        </w:rPr>
        <w:t>截至</w:t>
      </w:r>
      <w:r>
        <w:rPr>
          <w:rFonts w:hint="eastAsia" w:ascii="仿宋_GB2312" w:hAnsi="ˎ̥" w:eastAsia="仿宋_GB2312"/>
          <w:sz w:val="32"/>
          <w:szCs w:val="32"/>
          <w:lang w:eastAsia="zh-CN"/>
        </w:rPr>
        <w:t>2020年</w:t>
      </w:r>
      <w:r>
        <w:rPr>
          <w:rFonts w:hint="eastAsia" w:ascii="仿宋_GB2312" w:hAnsi="ˎ̥" w:eastAsia="仿宋_GB2312"/>
          <w:sz w:val="32"/>
          <w:szCs w:val="32"/>
        </w:rPr>
        <w:t>12月31日，</w:t>
      </w:r>
      <w:r>
        <w:rPr>
          <w:rFonts w:hint="eastAsia" w:ascii="仿宋_GB2312" w:hAnsi="仿宋_GB2312" w:eastAsia="仿宋_GB2312" w:cs="仿宋_GB2312"/>
          <w:sz w:val="32"/>
          <w:szCs w:val="32"/>
        </w:rPr>
        <w:t>本部门占用房屋面积8478.21平方米，其中：办公用房1740.53平方米，业务用房4306平方米，其他（不含构筑物）2431.68平方米。</w:t>
      </w:r>
      <w:r>
        <w:rPr>
          <w:rFonts w:hint="eastAsia" w:ascii="仿宋_GB2312" w:hAnsi="仿宋_GB2312" w:eastAsia="仿宋_GB2312" w:cs="仿宋_GB2312"/>
          <w:sz w:val="32"/>
          <w:szCs w:val="32"/>
          <w:lang w:eastAsia="zh-CN"/>
        </w:rPr>
        <w:t>但以上资产均已移交省机关事务管理局。</w:t>
      </w:r>
    </w:p>
    <w:p>
      <w:pPr>
        <w:spacing w:line="578" w:lineRule="exact"/>
        <w:ind w:firstLine="640" w:firstLineChars="200"/>
        <w:rPr>
          <w:rFonts w:hint="eastAsia" w:ascii="仿宋_GB2312" w:hAnsi="ˎ̥" w:eastAsia="仿宋_GB2312"/>
          <w:sz w:val="32"/>
          <w:szCs w:val="32"/>
          <w:lang w:eastAsia="zh-CN"/>
        </w:rPr>
      </w:pPr>
      <w:r>
        <w:rPr>
          <w:rFonts w:hint="eastAsia" w:ascii="仿宋_GB2312" w:hAnsi="ˎ̥" w:eastAsia="仿宋_GB2312"/>
          <w:sz w:val="32"/>
          <w:szCs w:val="32"/>
        </w:rPr>
        <w:t>本部门共有车辆</w:t>
      </w:r>
      <w:r>
        <w:rPr>
          <w:rFonts w:hint="eastAsia" w:ascii="仿宋_GB2312" w:hAnsi="ˎ̥" w:eastAsia="仿宋_GB2312"/>
          <w:sz w:val="32"/>
          <w:szCs w:val="32"/>
          <w:lang w:val="en-US" w:eastAsia="zh-CN"/>
        </w:rPr>
        <w:t>9</w:t>
      </w:r>
      <w:r>
        <w:rPr>
          <w:rFonts w:hint="eastAsia" w:ascii="仿宋_GB2312" w:hAnsi="ˎ̥" w:eastAsia="仿宋_GB2312"/>
          <w:sz w:val="32"/>
          <w:szCs w:val="32"/>
        </w:rPr>
        <w:t>辆，其中</w:t>
      </w:r>
      <w:r>
        <w:rPr>
          <w:rFonts w:hint="eastAsia" w:ascii="仿宋_GB2312" w:hAnsi="ˎ̥" w:eastAsia="仿宋_GB2312"/>
          <w:sz w:val="32"/>
          <w:szCs w:val="32"/>
          <w:lang w:eastAsia="zh-CN"/>
        </w:rPr>
        <w:t>：从车辆种类说明：</w:t>
      </w:r>
      <w:r>
        <w:rPr>
          <w:rFonts w:hint="eastAsia" w:ascii="仿宋_GB2312" w:hAnsi="ˎ̥" w:eastAsia="仿宋_GB2312"/>
          <w:sz w:val="32"/>
          <w:szCs w:val="32"/>
          <w:lang w:val="en-US" w:eastAsia="zh-CN"/>
        </w:rPr>
        <w:t>轿车3</w:t>
      </w:r>
      <w:r>
        <w:rPr>
          <w:rFonts w:hint="eastAsia" w:ascii="仿宋_GB2312" w:hAnsi="ˎ̥" w:eastAsia="仿宋_GB2312"/>
          <w:sz w:val="32"/>
          <w:szCs w:val="32"/>
        </w:rPr>
        <w:t>辆、</w:t>
      </w:r>
      <w:r>
        <w:rPr>
          <w:rFonts w:hint="eastAsia" w:ascii="仿宋_GB2312" w:hAnsi="ˎ̥" w:eastAsia="仿宋_GB2312"/>
          <w:sz w:val="32"/>
          <w:szCs w:val="32"/>
          <w:lang w:eastAsia="zh-CN"/>
        </w:rPr>
        <w:t>越野车</w:t>
      </w:r>
      <w:r>
        <w:rPr>
          <w:rFonts w:hint="eastAsia" w:ascii="仿宋_GB2312" w:hAnsi="ˎ̥" w:eastAsia="仿宋_GB2312"/>
          <w:sz w:val="32"/>
          <w:szCs w:val="32"/>
          <w:lang w:val="en-US" w:eastAsia="zh-CN"/>
        </w:rPr>
        <w:t>6</w:t>
      </w:r>
      <w:r>
        <w:rPr>
          <w:rFonts w:hint="eastAsia" w:ascii="仿宋_GB2312" w:hAnsi="ˎ̥" w:eastAsia="仿宋_GB2312"/>
          <w:sz w:val="32"/>
          <w:szCs w:val="32"/>
        </w:rPr>
        <w:t>辆</w:t>
      </w:r>
      <w:r>
        <w:rPr>
          <w:rFonts w:hint="eastAsia" w:ascii="仿宋_GB2312" w:hAnsi="ˎ̥" w:eastAsia="仿宋_GB2312"/>
          <w:sz w:val="32"/>
          <w:szCs w:val="32"/>
          <w:lang w:eastAsia="zh-CN"/>
        </w:rPr>
        <w:t>；从车辆使用情况说明：机要通信用车</w:t>
      </w:r>
      <w:r>
        <w:rPr>
          <w:rFonts w:hint="eastAsia" w:ascii="仿宋_GB2312" w:hAnsi="ˎ̥" w:eastAsia="仿宋_GB2312"/>
          <w:sz w:val="32"/>
          <w:szCs w:val="32"/>
          <w:lang w:val="en-US" w:eastAsia="zh-CN"/>
        </w:rPr>
        <w:t>1</w:t>
      </w:r>
      <w:r>
        <w:rPr>
          <w:rFonts w:hint="eastAsia" w:ascii="仿宋_GB2312" w:hAnsi="ˎ̥" w:eastAsia="仿宋_GB2312"/>
          <w:sz w:val="32"/>
          <w:szCs w:val="32"/>
        </w:rPr>
        <w:t>辆、</w:t>
      </w:r>
      <w:r>
        <w:rPr>
          <w:rFonts w:hint="eastAsia" w:ascii="仿宋_GB2312" w:hAnsi="ˎ̥" w:eastAsia="仿宋_GB2312"/>
          <w:sz w:val="32"/>
          <w:szCs w:val="32"/>
          <w:lang w:eastAsia="zh-CN"/>
        </w:rPr>
        <w:t>应急保障用车</w:t>
      </w:r>
      <w:r>
        <w:rPr>
          <w:rFonts w:hint="eastAsia" w:ascii="仿宋_GB2312" w:hAnsi="ˎ̥" w:eastAsia="仿宋_GB2312"/>
          <w:sz w:val="32"/>
          <w:szCs w:val="32"/>
          <w:lang w:val="en-US" w:eastAsia="zh-CN"/>
        </w:rPr>
        <w:t>1</w:t>
      </w:r>
      <w:r>
        <w:rPr>
          <w:rFonts w:hint="eastAsia" w:ascii="仿宋_GB2312" w:hAnsi="ˎ̥" w:eastAsia="仿宋_GB2312"/>
          <w:sz w:val="32"/>
          <w:szCs w:val="32"/>
        </w:rPr>
        <w:t>辆、</w:t>
      </w:r>
      <w:r>
        <w:rPr>
          <w:rFonts w:hint="eastAsia" w:ascii="仿宋_GB2312" w:hAnsi="ˎ̥" w:eastAsia="仿宋_GB2312"/>
          <w:sz w:val="32"/>
          <w:szCs w:val="32"/>
          <w:lang w:eastAsia="zh-CN"/>
        </w:rPr>
        <w:t>执法执勤</w:t>
      </w:r>
      <w:r>
        <w:rPr>
          <w:rFonts w:hint="eastAsia" w:ascii="仿宋_GB2312" w:hAnsi="ˎ̥" w:eastAsia="仿宋_GB2312"/>
          <w:sz w:val="32"/>
          <w:szCs w:val="32"/>
        </w:rPr>
        <w:t>用车</w:t>
      </w:r>
      <w:r>
        <w:rPr>
          <w:rFonts w:hint="eastAsia" w:ascii="仿宋_GB2312" w:hAnsi="ˎ̥" w:eastAsia="仿宋_GB2312"/>
          <w:sz w:val="32"/>
          <w:szCs w:val="32"/>
          <w:lang w:val="en-US" w:eastAsia="zh-CN"/>
        </w:rPr>
        <w:t>7</w:t>
      </w:r>
      <w:r>
        <w:rPr>
          <w:rFonts w:hint="eastAsia" w:ascii="仿宋_GB2312" w:hAnsi="ˎ̥" w:eastAsia="仿宋_GB2312"/>
          <w:sz w:val="32"/>
          <w:szCs w:val="32"/>
        </w:rPr>
        <w:t>辆</w:t>
      </w:r>
      <w:r>
        <w:rPr>
          <w:rFonts w:hint="eastAsia" w:ascii="仿宋_GB2312" w:hAnsi="ˎ̥" w:eastAsia="仿宋_GB2312"/>
          <w:sz w:val="32"/>
          <w:szCs w:val="32"/>
          <w:lang w:eastAsia="zh-CN"/>
        </w:rPr>
        <w:t>。</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单位价值50万元以上通用设备5台（套），单价100万元以上专用设备2台（套）。</w:t>
      </w:r>
    </w:p>
    <w:p>
      <w:pPr>
        <w:spacing w:line="578" w:lineRule="exact"/>
        <w:ind w:firstLine="640" w:firstLineChars="200"/>
        <w:rPr>
          <w:rFonts w:hint="eastAsia" w:ascii="黑体" w:hAnsi="ˎ̥" w:eastAsia="黑体"/>
          <w:sz w:val="32"/>
          <w:szCs w:val="32"/>
          <w:lang w:eastAsia="zh-CN"/>
        </w:rPr>
      </w:pP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末没有</w:t>
      </w:r>
      <w:r>
        <w:rPr>
          <w:rFonts w:hint="eastAsia" w:ascii="仿宋_GB2312" w:hAnsi="仿宋_GB2312" w:eastAsia="仿宋_GB2312" w:cs="仿宋_GB2312"/>
          <w:sz w:val="32"/>
          <w:szCs w:val="32"/>
        </w:rPr>
        <w:t>在建工程。</w:t>
      </w:r>
      <w:bookmarkStart w:id="106" w:name="_Toc8874_WPSOffice_Level1"/>
      <w:bookmarkStart w:id="107" w:name="_Toc17580_WPSOffice_Level1"/>
      <w:bookmarkStart w:id="108" w:name="_Toc4398_WPSOffice_Level1"/>
      <w:bookmarkStart w:id="109" w:name="_Toc11039_WPSOffice_Level1"/>
      <w:bookmarkStart w:id="110" w:name="_Toc8808_WPSOffice_Level1"/>
      <w:bookmarkStart w:id="111" w:name="_Toc15425_WPSOffice_Level1"/>
    </w:p>
    <w:p>
      <w:pPr>
        <w:jc w:val="center"/>
        <w:rPr>
          <w:rFonts w:hint="eastAsia" w:ascii="黑体" w:hAnsi="ˎ̥" w:eastAsia="黑体"/>
          <w:sz w:val="32"/>
          <w:szCs w:val="32"/>
          <w:lang w:eastAsia="zh-CN"/>
        </w:rPr>
      </w:pPr>
    </w:p>
    <w:p>
      <w:pPr>
        <w:jc w:val="center"/>
        <w:rPr>
          <w:rFonts w:hint="eastAsia" w:ascii="黑体" w:hAnsi="ˎ̥" w:eastAsia="黑体"/>
          <w:sz w:val="32"/>
          <w:szCs w:val="32"/>
          <w:lang w:eastAsia="zh-CN"/>
        </w:rPr>
      </w:pPr>
    </w:p>
    <w:p>
      <w:pPr>
        <w:jc w:val="center"/>
        <w:rPr>
          <w:rFonts w:hint="eastAsia" w:ascii="黑体" w:hAnsi="ˎ̥" w:eastAsia="黑体"/>
          <w:sz w:val="32"/>
          <w:szCs w:val="32"/>
          <w:lang w:eastAsia="zh-CN"/>
        </w:rPr>
      </w:pPr>
    </w:p>
    <w:p>
      <w:pPr>
        <w:jc w:val="center"/>
        <w:rPr>
          <w:rFonts w:hint="eastAsia" w:ascii="黑体" w:hAnsi="ˎ̥" w:eastAsia="黑体"/>
          <w:sz w:val="32"/>
          <w:szCs w:val="32"/>
          <w:lang w:eastAsia="zh-CN"/>
        </w:rPr>
      </w:pPr>
    </w:p>
    <w:p>
      <w:pPr>
        <w:jc w:val="center"/>
        <w:rPr>
          <w:rFonts w:hint="eastAsia" w:ascii="黑体" w:hAnsi="ˎ̥" w:eastAsia="黑体"/>
          <w:sz w:val="32"/>
          <w:szCs w:val="32"/>
          <w:lang w:eastAsia="zh-CN"/>
        </w:rPr>
      </w:pPr>
    </w:p>
    <w:p>
      <w:pPr>
        <w:numPr>
          <w:ilvl w:val="0"/>
          <w:numId w:val="0"/>
        </w:numPr>
        <w:ind w:leftChars="0"/>
        <w:jc w:val="center"/>
        <w:rPr>
          <w:rFonts w:hint="eastAsia" w:ascii="黑体" w:hAnsi="ˎ̥" w:eastAsia="黑体"/>
          <w:sz w:val="32"/>
          <w:szCs w:val="32"/>
        </w:rPr>
      </w:pPr>
      <w:r>
        <w:rPr>
          <w:rFonts w:hint="eastAsia" w:ascii="黑体" w:hAnsi="ˎ̥" w:eastAsia="黑体"/>
          <w:sz w:val="32"/>
          <w:szCs w:val="32"/>
          <w:lang w:val="en-US" w:eastAsia="zh-CN"/>
        </w:rPr>
        <w:t xml:space="preserve">第四部分 </w:t>
      </w:r>
      <w:r>
        <w:rPr>
          <w:rFonts w:hint="eastAsia" w:ascii="黑体" w:hAnsi="ˎ̥" w:eastAsia="黑体"/>
          <w:sz w:val="32"/>
          <w:szCs w:val="32"/>
        </w:rPr>
        <w:t>名词解释</w:t>
      </w:r>
      <w:bookmarkEnd w:id="106"/>
      <w:bookmarkEnd w:id="107"/>
      <w:bookmarkEnd w:id="108"/>
      <w:bookmarkEnd w:id="109"/>
      <w:bookmarkEnd w:id="110"/>
      <w:bookmarkEnd w:id="111"/>
    </w:p>
    <w:p>
      <w:pPr>
        <w:numPr>
          <w:ilvl w:val="0"/>
          <w:numId w:val="0"/>
        </w:numPr>
        <w:ind w:leftChars="0"/>
        <w:jc w:val="both"/>
        <w:rPr>
          <w:rFonts w:hint="eastAsia" w:ascii="黑体" w:hAnsi="ˎ̥"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sz w:val="32"/>
          <w:szCs w:val="32"/>
        </w:rPr>
      </w:pPr>
      <w:r>
        <w:rPr>
          <w:rFonts w:hint="eastAsia" w:ascii="仿宋_GB2312" w:hAnsi="ˎ̥" w:eastAsia="仿宋_GB2312"/>
          <w:sz w:val="32"/>
          <w:szCs w:val="32"/>
        </w:rPr>
        <w:t>一</w:t>
      </w:r>
      <w:r>
        <w:rPr>
          <w:rFonts w:hint="eastAsia" w:ascii="仿宋_GB2312" w:hAnsi="ˎ̥" w:eastAsia="仿宋_GB2312"/>
          <w:sz w:val="32"/>
          <w:szCs w:val="32"/>
          <w:lang w:eastAsia="zh-CN"/>
        </w:rPr>
        <w:t>、</w:t>
      </w:r>
      <w:r>
        <w:rPr>
          <w:rFonts w:hint="eastAsia" w:ascii="仿宋_GB2312" w:hAnsi="ˎ̥" w:eastAsia="仿宋_GB2312"/>
          <w:sz w:val="32"/>
          <w:szCs w:val="32"/>
        </w:rPr>
        <w:t>财政拨款收入：指本级财政当年拨付的资金。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sz w:val="32"/>
          <w:szCs w:val="32"/>
        </w:rPr>
      </w:pPr>
      <w:r>
        <w:rPr>
          <w:rFonts w:hint="eastAsia" w:ascii="仿宋_GB2312" w:hAnsi="ˎ̥" w:eastAsia="仿宋_GB2312"/>
          <w:sz w:val="32"/>
          <w:szCs w:val="32"/>
        </w:rPr>
        <w:t>二</w:t>
      </w:r>
      <w:r>
        <w:rPr>
          <w:rFonts w:hint="eastAsia" w:ascii="仿宋_GB2312" w:hAnsi="ˎ̥" w:eastAsia="仿宋_GB2312"/>
          <w:sz w:val="32"/>
          <w:szCs w:val="32"/>
          <w:lang w:eastAsia="zh-CN"/>
        </w:rPr>
        <w:t>、</w:t>
      </w:r>
      <w:r>
        <w:rPr>
          <w:rFonts w:hint="eastAsia" w:ascii="仿宋_GB2312" w:hAnsi="ˎ̥" w:eastAsia="仿宋_GB2312"/>
          <w:sz w:val="32"/>
          <w:szCs w:val="32"/>
        </w:rPr>
        <w:t>事业收入：指事业单位开展专业业务活动及辅助活动取得的收入。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sz w:val="32"/>
          <w:szCs w:val="32"/>
        </w:rPr>
      </w:pPr>
      <w:r>
        <w:rPr>
          <w:rFonts w:hint="eastAsia" w:ascii="仿宋_GB2312" w:hAnsi="ˎ̥" w:eastAsia="仿宋_GB2312"/>
          <w:sz w:val="32"/>
          <w:szCs w:val="32"/>
        </w:rPr>
        <w:t>三</w:t>
      </w:r>
      <w:r>
        <w:rPr>
          <w:rFonts w:hint="eastAsia" w:ascii="仿宋_GB2312" w:hAnsi="ˎ̥" w:eastAsia="仿宋_GB2312"/>
          <w:sz w:val="32"/>
          <w:szCs w:val="32"/>
          <w:lang w:eastAsia="zh-CN"/>
        </w:rPr>
        <w:t>、</w:t>
      </w:r>
      <w:r>
        <w:rPr>
          <w:rFonts w:hint="eastAsia" w:ascii="仿宋_GB2312" w:hAnsi="ˎ̥" w:eastAsia="仿宋_GB2312"/>
          <w:sz w:val="32"/>
          <w:szCs w:val="32"/>
        </w:rPr>
        <w:t>经营收入：指事业单位在专业业务活动及其辅助活动之外开展非独立核算经营活动取得的收入。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sz w:val="32"/>
          <w:szCs w:val="32"/>
        </w:rPr>
      </w:pPr>
      <w:r>
        <w:rPr>
          <w:rFonts w:hint="eastAsia" w:ascii="仿宋_GB2312" w:hAnsi="ˎ̥" w:eastAsia="仿宋_GB2312"/>
          <w:sz w:val="32"/>
          <w:szCs w:val="32"/>
        </w:rPr>
        <w:t>四</w:t>
      </w:r>
      <w:r>
        <w:rPr>
          <w:rFonts w:hint="eastAsia" w:ascii="仿宋_GB2312" w:hAnsi="ˎ̥" w:eastAsia="仿宋_GB2312"/>
          <w:sz w:val="32"/>
          <w:szCs w:val="32"/>
          <w:lang w:eastAsia="zh-CN"/>
        </w:rPr>
        <w:t>、</w:t>
      </w:r>
      <w:r>
        <w:rPr>
          <w:rFonts w:hint="eastAsia" w:ascii="仿宋_GB2312" w:hAnsi="ˎ̥" w:eastAsia="仿宋_GB2312"/>
          <w:sz w:val="32"/>
          <w:szCs w:val="32"/>
        </w:rPr>
        <w:t>其他收入：指除上述“财政拨款收入”“事业收入”“经营收入”等以外的收入。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sz w:val="32"/>
          <w:szCs w:val="32"/>
        </w:rPr>
      </w:pPr>
      <w:r>
        <w:rPr>
          <w:rFonts w:hint="eastAsia" w:ascii="仿宋_GB2312" w:hAnsi="ˎ̥" w:eastAsia="仿宋_GB2312"/>
          <w:sz w:val="32"/>
          <w:szCs w:val="32"/>
        </w:rPr>
        <w:t>五</w:t>
      </w:r>
      <w:r>
        <w:rPr>
          <w:rFonts w:hint="eastAsia" w:ascii="仿宋_GB2312" w:hAnsi="ˎ̥" w:eastAsia="仿宋_GB2312"/>
          <w:sz w:val="32"/>
          <w:szCs w:val="32"/>
          <w:lang w:eastAsia="zh-CN"/>
        </w:rPr>
        <w:t>、</w:t>
      </w:r>
      <w:r>
        <w:rPr>
          <w:rFonts w:hint="eastAsia" w:ascii="仿宋_GB2312" w:hAnsi="ˎ̥"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sz w:val="32"/>
          <w:szCs w:val="32"/>
        </w:rPr>
      </w:pPr>
      <w:r>
        <w:rPr>
          <w:rFonts w:hint="eastAsia" w:ascii="仿宋_GB2312" w:hAnsi="ˎ̥" w:eastAsia="仿宋_GB2312"/>
          <w:sz w:val="32"/>
          <w:szCs w:val="32"/>
        </w:rPr>
        <w:t>六</w:t>
      </w:r>
      <w:r>
        <w:rPr>
          <w:rFonts w:hint="eastAsia" w:ascii="仿宋_GB2312" w:hAnsi="ˎ̥" w:eastAsia="仿宋_GB2312"/>
          <w:sz w:val="32"/>
          <w:szCs w:val="32"/>
          <w:lang w:eastAsia="zh-CN"/>
        </w:rPr>
        <w:t>、</w:t>
      </w:r>
      <w:r>
        <w:rPr>
          <w:rFonts w:hint="eastAsia" w:ascii="仿宋_GB2312" w:hAnsi="ˎ̥" w:eastAsia="仿宋_GB2312"/>
          <w:sz w:val="32"/>
          <w:szCs w:val="32"/>
        </w:rPr>
        <w:t>年初结转和结余：指以前年度尚未完成、结转到本年按有关规定继续使用的资金。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sz w:val="32"/>
          <w:szCs w:val="32"/>
        </w:rPr>
      </w:pPr>
      <w:r>
        <w:rPr>
          <w:rFonts w:hint="eastAsia" w:ascii="仿宋_GB2312" w:hAnsi="ˎ̥" w:eastAsia="仿宋_GB2312"/>
          <w:sz w:val="32"/>
          <w:szCs w:val="32"/>
        </w:rPr>
        <w:t>七</w:t>
      </w:r>
      <w:r>
        <w:rPr>
          <w:rFonts w:hint="eastAsia" w:ascii="仿宋_GB2312" w:hAnsi="ˎ̥" w:eastAsia="仿宋_GB2312"/>
          <w:sz w:val="32"/>
          <w:szCs w:val="32"/>
          <w:lang w:eastAsia="zh-CN"/>
        </w:rPr>
        <w:t>、</w:t>
      </w:r>
      <w:r>
        <w:rPr>
          <w:rFonts w:hint="eastAsia" w:ascii="仿宋_GB2312" w:hAnsi="ˎ̥" w:eastAsia="仿宋_GB2312"/>
          <w:sz w:val="32"/>
          <w:szCs w:val="32"/>
        </w:rPr>
        <w:t>结余分配：指事业单位按规定提取的职工福利基金、事业基金和缴纳的所得税，以及建设单位按规定应交回的基本建设竣工项目结余资金。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sz w:val="32"/>
          <w:szCs w:val="32"/>
        </w:rPr>
      </w:pPr>
      <w:r>
        <w:rPr>
          <w:rFonts w:hint="eastAsia" w:ascii="仿宋_GB2312" w:hAnsi="ˎ̥" w:eastAsia="仿宋_GB2312"/>
          <w:sz w:val="32"/>
          <w:szCs w:val="32"/>
        </w:rPr>
        <w:t>八</w:t>
      </w:r>
      <w:r>
        <w:rPr>
          <w:rFonts w:hint="eastAsia" w:ascii="仿宋_GB2312" w:hAnsi="ˎ̥" w:eastAsia="仿宋_GB2312"/>
          <w:sz w:val="32"/>
          <w:szCs w:val="32"/>
          <w:lang w:eastAsia="zh-CN"/>
        </w:rPr>
        <w:t>、</w:t>
      </w:r>
      <w:r>
        <w:rPr>
          <w:rFonts w:hint="eastAsia" w:ascii="仿宋_GB2312" w:hAnsi="ˎ̥" w:eastAsia="仿宋_GB2312"/>
          <w:sz w:val="32"/>
          <w:szCs w:val="32"/>
        </w:rPr>
        <w:t>年末结转和结余：指本年度或以前年度预算安排、因客观条件发生变化无法按原计划实施，需要延迟到以后年度按有关规定继续使用的资金。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sz w:val="32"/>
          <w:szCs w:val="32"/>
        </w:rPr>
      </w:pPr>
      <w:r>
        <w:rPr>
          <w:rFonts w:hint="eastAsia" w:ascii="仿宋_GB2312" w:hAnsi="ˎ̥" w:eastAsia="仿宋_GB2312"/>
          <w:sz w:val="32"/>
          <w:szCs w:val="32"/>
        </w:rPr>
        <w:t>九</w:t>
      </w:r>
      <w:r>
        <w:rPr>
          <w:rFonts w:hint="eastAsia" w:ascii="仿宋_GB2312" w:hAnsi="ˎ̥" w:eastAsia="仿宋_GB2312"/>
          <w:sz w:val="32"/>
          <w:szCs w:val="32"/>
          <w:lang w:eastAsia="zh-CN"/>
        </w:rPr>
        <w:t>、</w:t>
      </w:r>
      <w:r>
        <w:rPr>
          <w:rFonts w:hint="eastAsia" w:ascii="仿宋_GB2312" w:hAnsi="ˎ̥" w:eastAsia="仿宋_GB2312"/>
          <w:sz w:val="32"/>
          <w:szCs w:val="32"/>
        </w:rPr>
        <w:t>基本支出：指为保障机构正常运转、完成日常工作任务而发生的人员支出和公用支出。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sz w:val="32"/>
          <w:szCs w:val="32"/>
        </w:rPr>
      </w:pPr>
      <w:r>
        <w:rPr>
          <w:rFonts w:hint="eastAsia" w:ascii="仿宋_GB2312" w:hAnsi="ˎ̥" w:eastAsia="仿宋_GB2312"/>
          <w:sz w:val="32"/>
          <w:szCs w:val="32"/>
        </w:rPr>
        <w:t>十</w:t>
      </w:r>
      <w:r>
        <w:rPr>
          <w:rFonts w:hint="eastAsia" w:ascii="仿宋_GB2312" w:hAnsi="ˎ̥" w:eastAsia="仿宋_GB2312"/>
          <w:sz w:val="32"/>
          <w:szCs w:val="32"/>
          <w:lang w:eastAsia="zh-CN"/>
        </w:rPr>
        <w:t>、</w:t>
      </w:r>
      <w:r>
        <w:rPr>
          <w:rFonts w:hint="eastAsia" w:ascii="仿宋_GB2312" w:hAnsi="ˎ̥" w:eastAsia="仿宋_GB2312"/>
          <w:sz w:val="32"/>
          <w:szCs w:val="32"/>
        </w:rPr>
        <w:t>项目支出：指在基本支出之外为完成特定行政任务和事业发展目标所发生的支出。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sz w:val="32"/>
          <w:szCs w:val="32"/>
        </w:rPr>
      </w:pPr>
      <w:r>
        <w:rPr>
          <w:rFonts w:hint="eastAsia" w:ascii="仿宋_GB2312" w:hAnsi="ˎ̥" w:eastAsia="仿宋_GB2312"/>
          <w:sz w:val="32"/>
          <w:szCs w:val="32"/>
        </w:rPr>
        <w:t>十一</w:t>
      </w:r>
      <w:r>
        <w:rPr>
          <w:rFonts w:hint="eastAsia" w:ascii="仿宋_GB2312" w:hAnsi="ˎ̥" w:eastAsia="仿宋_GB2312"/>
          <w:sz w:val="32"/>
          <w:szCs w:val="32"/>
          <w:lang w:eastAsia="zh-CN"/>
        </w:rPr>
        <w:t>、</w:t>
      </w:r>
      <w:r>
        <w:rPr>
          <w:rFonts w:hint="eastAsia" w:ascii="仿宋_GB2312" w:hAnsi="ˎ̥" w:eastAsia="仿宋_GB2312"/>
          <w:sz w:val="32"/>
          <w:szCs w:val="32"/>
        </w:rPr>
        <w:t>经营支出：指事业单位在专业业务活动及其辅助活动之外开展非独立核算经营活动发生的支出。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sz w:val="32"/>
          <w:szCs w:val="32"/>
        </w:rPr>
      </w:pPr>
      <w:r>
        <w:rPr>
          <w:rFonts w:hint="eastAsia" w:ascii="仿宋_GB2312" w:hAnsi="ˎ̥" w:eastAsia="仿宋_GB2312"/>
          <w:sz w:val="32"/>
          <w:szCs w:val="32"/>
        </w:rPr>
        <w:t>十二</w:t>
      </w:r>
      <w:r>
        <w:rPr>
          <w:rFonts w:hint="eastAsia" w:ascii="仿宋_GB2312" w:hAnsi="ˎ̥" w:eastAsia="仿宋_GB2312"/>
          <w:sz w:val="32"/>
          <w:szCs w:val="32"/>
          <w:lang w:eastAsia="zh-CN"/>
        </w:rPr>
        <w:t>、</w:t>
      </w:r>
      <w:r>
        <w:rPr>
          <w:rFonts w:hint="eastAsia" w:ascii="仿宋_GB2312" w:hAnsi="ˎ̥" w:eastAsia="仿宋_GB2312"/>
          <w:sz w:val="32"/>
          <w:szCs w:val="32"/>
        </w:rPr>
        <w:t>“三公”经费：纳入本级财政预决算管理的“三公”经费，是指本级部门用一般公共预算财政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sz w:val="32"/>
          <w:szCs w:val="32"/>
          <w:lang w:eastAsia="zh-CN"/>
        </w:rPr>
      </w:pPr>
      <w:r>
        <w:rPr>
          <w:rFonts w:hint="eastAsia" w:ascii="仿宋_GB2312" w:hAnsi="ˎ̥" w:eastAsia="仿宋_GB2312"/>
          <w:sz w:val="32"/>
          <w:szCs w:val="32"/>
        </w:rPr>
        <w:t>十三</w:t>
      </w:r>
      <w:r>
        <w:rPr>
          <w:rFonts w:hint="eastAsia" w:ascii="仿宋_GB2312" w:hAnsi="ˎ̥" w:eastAsia="仿宋_GB2312"/>
          <w:sz w:val="32"/>
          <w:szCs w:val="32"/>
          <w:lang w:val="en-US" w:eastAsia="zh-CN"/>
        </w:rPr>
        <w:t>、</w:t>
      </w:r>
      <w:r>
        <w:rPr>
          <w:rFonts w:hint="eastAsia" w:ascii="仿宋_GB2312" w:hAnsi="ˎ̥"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sz w:val="32"/>
          <w:szCs w:val="32"/>
          <w:lang w:val="zh-CN"/>
        </w:rPr>
      </w:pPr>
      <w:r>
        <w:rPr>
          <w:rFonts w:hint="eastAsia" w:ascii="仿宋_GB2312" w:hAnsi="ˎ̥" w:eastAsia="仿宋_GB2312"/>
          <w:sz w:val="32"/>
          <w:szCs w:val="32"/>
          <w:lang w:val="zh-CN"/>
        </w:rPr>
        <w:t>十四、公共安全支出（类）检察（款）行政运行（项）：指人民检察院用于保障机构正常运行、开展日常工作的基本支出。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sz w:val="32"/>
          <w:szCs w:val="32"/>
          <w:lang w:val="zh-CN"/>
        </w:rPr>
      </w:pPr>
      <w:r>
        <w:rPr>
          <w:rFonts w:hint="eastAsia" w:ascii="仿宋_GB2312" w:hAnsi="ˎ̥" w:eastAsia="仿宋_GB2312"/>
          <w:sz w:val="32"/>
          <w:szCs w:val="32"/>
          <w:lang w:val="zh-CN"/>
        </w:rPr>
        <w:t xml:space="preserve"> 十五、公共安全支出（类）检察（款）检察监督（项）：指人民检察院履行法律监督职能的项目支出。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sz w:val="32"/>
          <w:szCs w:val="32"/>
        </w:rPr>
      </w:pPr>
      <w:r>
        <w:rPr>
          <w:rFonts w:hint="eastAsia" w:ascii="仿宋_GB2312" w:hAnsi="ˎ̥" w:eastAsia="仿宋_GB2312"/>
          <w:sz w:val="32"/>
          <w:szCs w:val="32"/>
          <w:lang w:val="zh-CN"/>
        </w:rPr>
        <w:t xml:space="preserve"> 十六、公共安全支出（类）检察（款）其他检察支出（项）：指人民检察院除上述项目以外的开展其他检察事务方面专门性工作任务的项目支出。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sz w:val="32"/>
          <w:szCs w:val="32"/>
        </w:rPr>
      </w:pPr>
      <w:r>
        <w:rPr>
          <w:rFonts w:hint="eastAsia" w:ascii="仿宋_GB2312" w:hAnsi="ˎ̥" w:eastAsia="仿宋_GB2312"/>
          <w:sz w:val="32"/>
          <w:szCs w:val="32"/>
        </w:rPr>
        <w:t>十</w:t>
      </w:r>
      <w:r>
        <w:rPr>
          <w:rFonts w:hint="eastAsia" w:ascii="仿宋_GB2312" w:hAnsi="ˎ̥" w:eastAsia="仿宋_GB2312"/>
          <w:sz w:val="32"/>
          <w:szCs w:val="32"/>
          <w:lang w:eastAsia="zh-CN"/>
        </w:rPr>
        <w:t>七</w:t>
      </w:r>
      <w:r>
        <w:rPr>
          <w:rFonts w:hint="eastAsia" w:ascii="仿宋_GB2312" w:hAnsi="ˎ̥" w:eastAsia="仿宋_GB2312"/>
          <w:sz w:val="32"/>
          <w:szCs w:val="32"/>
        </w:rPr>
        <w:t>、社会保障和就业支出（类）行政事业单位离退休（款）机关事业单位基本养老保险缴费支出（项）：指反映机关事业单位实施养老保险制度由单位缴纳的基本养老保险费支出。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ˎ̥" w:eastAsia="仿宋_GB2312"/>
          <w:sz w:val="32"/>
          <w:szCs w:val="32"/>
          <w:lang w:eastAsia="zh-CN"/>
        </w:rPr>
        <w:t>十八</w:t>
      </w:r>
      <w:r>
        <w:rPr>
          <w:rFonts w:hint="eastAsia" w:ascii="仿宋_GB2312" w:hAnsi="ˎ̥" w:eastAsia="仿宋_GB2312"/>
          <w:sz w:val="32"/>
          <w:szCs w:val="32"/>
        </w:rPr>
        <w:t>、社会保障和就业支出（类）抚恤（款）其他优抚支出（项）：反映行政单位按规定开支的烈士遗属、牺牲病故人员遗属的一次性和定期抚恤金，伤残人员的抚恤金，离退休人员等其他人员的各项抚恤金，以</w:t>
      </w:r>
      <w:r>
        <w:rPr>
          <w:rFonts w:hint="eastAsia" w:ascii="仿宋_GB2312" w:hAnsi="仿宋_GB2312" w:eastAsia="仿宋_GB2312" w:cs="仿宋_GB2312"/>
          <w:color w:val="000000"/>
          <w:sz w:val="32"/>
          <w:szCs w:val="32"/>
        </w:rPr>
        <w:t>及按规定开支的机关事业单位职工和离退休人员丧葬费的支出。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十九</w:t>
      </w:r>
      <w:r>
        <w:rPr>
          <w:rFonts w:hint="eastAsia" w:ascii="仿宋_GB2312" w:hAnsi="仿宋_GB2312" w:eastAsia="仿宋_GB2312" w:cs="仿宋_GB2312"/>
          <w:color w:val="000000"/>
          <w:sz w:val="32"/>
          <w:szCs w:val="32"/>
        </w:rPr>
        <w:t>、卫生健康支出（类）行政事业单位医疗（款）行政单位医疗（项）支出：指反映行政单位基本医疗保险缴费支出。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二十</w:t>
      </w:r>
      <w:r>
        <w:rPr>
          <w:rFonts w:hint="eastAsia" w:ascii="仿宋_GB2312" w:hAnsi="仿宋_GB2312" w:eastAsia="仿宋_GB2312" w:cs="仿宋_GB2312"/>
          <w:color w:val="000000"/>
          <w:sz w:val="32"/>
          <w:szCs w:val="32"/>
        </w:rPr>
        <w:t>、卫生健康支出（类）行政事业单位医疗（款）公务员医疗补助（项）：指反映公务员医疗补助支出。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二十一</w:t>
      </w:r>
      <w:r>
        <w:rPr>
          <w:rFonts w:hint="eastAsia" w:ascii="仿宋_GB2312" w:hAnsi="仿宋_GB2312" w:eastAsia="仿宋_GB2312" w:cs="仿宋_GB2312"/>
          <w:color w:val="000000"/>
          <w:sz w:val="32"/>
          <w:szCs w:val="32"/>
        </w:rPr>
        <w:t>、住房保障支出（类）住房改革支出（款）住房公积金（项）：指反映为职工缴纳的住房公积金支出。</w:t>
      </w:r>
    </w:p>
    <w:p>
      <w:pPr>
        <w:rPr>
          <w:rFonts w:hint="eastAsia" w:ascii="仿宋_GB2312" w:hAnsi="ˎ̥" w:eastAsia="仿宋_GB2312"/>
          <w:sz w:val="32"/>
          <w:szCs w:val="32"/>
        </w:rPr>
      </w:pPr>
    </w:p>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A3E0B0"/>
    <w:multiLevelType w:val="singleLevel"/>
    <w:tmpl w:val="98A3E0B0"/>
    <w:lvl w:ilvl="0" w:tentative="0">
      <w:start w:val="1"/>
      <w:numFmt w:val="chineseCounting"/>
      <w:suff w:val="nothing"/>
      <w:lvlText w:val="%1、"/>
      <w:lvlJc w:val="left"/>
      <w:rPr>
        <w:rFonts w:hint="eastAsia"/>
      </w:rPr>
    </w:lvl>
  </w:abstractNum>
  <w:abstractNum w:abstractNumId="1">
    <w:nsid w:val="EA7E4689"/>
    <w:multiLevelType w:val="singleLevel"/>
    <w:tmpl w:val="EA7E4689"/>
    <w:lvl w:ilvl="0" w:tentative="0">
      <w:start w:val="9"/>
      <w:numFmt w:val="chineseCounting"/>
      <w:suff w:val="nothing"/>
      <w:lvlText w:val="（%1）"/>
      <w:lvlJc w:val="left"/>
      <w:rPr>
        <w:rFonts w:hint="eastAsia"/>
      </w:rPr>
    </w:lvl>
  </w:abstractNum>
  <w:abstractNum w:abstractNumId="2">
    <w:nsid w:val="48CE8792"/>
    <w:multiLevelType w:val="singleLevel"/>
    <w:tmpl w:val="48CE8792"/>
    <w:lvl w:ilvl="0" w:tentative="0">
      <w:start w:val="2"/>
      <w:numFmt w:val="chineseCounting"/>
      <w:suff w:val="space"/>
      <w:lvlText w:val="第%1部分"/>
      <w:lvlJc w:val="left"/>
      <w:rPr>
        <w:rFonts w:hint="eastAsia"/>
      </w:rPr>
    </w:lvl>
  </w:abstractNum>
  <w:abstractNum w:abstractNumId="3">
    <w:nsid w:val="72109F8D"/>
    <w:multiLevelType w:val="singleLevel"/>
    <w:tmpl w:val="72109F8D"/>
    <w:lvl w:ilvl="0" w:tentative="0">
      <w:start w:val="7"/>
      <w:numFmt w:val="chineseCounting"/>
      <w:suff w:val="nothing"/>
      <w:lvlText w:val="%1、"/>
      <w:lvlJc w:val="left"/>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488D"/>
    <w:rsid w:val="0079411F"/>
    <w:rsid w:val="007B3CA7"/>
    <w:rsid w:val="00A84FD4"/>
    <w:rsid w:val="00B06DC8"/>
    <w:rsid w:val="00E16506"/>
    <w:rsid w:val="01447C9B"/>
    <w:rsid w:val="01480528"/>
    <w:rsid w:val="01EF4DE6"/>
    <w:rsid w:val="024F32E1"/>
    <w:rsid w:val="027A415A"/>
    <w:rsid w:val="02B61ED5"/>
    <w:rsid w:val="02BE7C25"/>
    <w:rsid w:val="02CB0B28"/>
    <w:rsid w:val="0481240D"/>
    <w:rsid w:val="048938F6"/>
    <w:rsid w:val="04A36187"/>
    <w:rsid w:val="051A3FAA"/>
    <w:rsid w:val="05461E95"/>
    <w:rsid w:val="055F74C4"/>
    <w:rsid w:val="05925957"/>
    <w:rsid w:val="06BB65E0"/>
    <w:rsid w:val="06E81887"/>
    <w:rsid w:val="073B5D8B"/>
    <w:rsid w:val="07623602"/>
    <w:rsid w:val="07A66C49"/>
    <w:rsid w:val="07E4291E"/>
    <w:rsid w:val="07FA6B30"/>
    <w:rsid w:val="08381B6D"/>
    <w:rsid w:val="083D497A"/>
    <w:rsid w:val="08E616EB"/>
    <w:rsid w:val="08FC6A47"/>
    <w:rsid w:val="095D76AE"/>
    <w:rsid w:val="09BF32E9"/>
    <w:rsid w:val="09FA3A04"/>
    <w:rsid w:val="0A4F4FD0"/>
    <w:rsid w:val="0A58334C"/>
    <w:rsid w:val="0A593A47"/>
    <w:rsid w:val="0A634356"/>
    <w:rsid w:val="0B4F49DA"/>
    <w:rsid w:val="0BA53EEF"/>
    <w:rsid w:val="0BA92B75"/>
    <w:rsid w:val="0BD57620"/>
    <w:rsid w:val="0BDF54A4"/>
    <w:rsid w:val="0BF81AEC"/>
    <w:rsid w:val="0C1C59FF"/>
    <w:rsid w:val="0C3377AB"/>
    <w:rsid w:val="0C3D2B23"/>
    <w:rsid w:val="0C904E12"/>
    <w:rsid w:val="0D070D34"/>
    <w:rsid w:val="0D532AE8"/>
    <w:rsid w:val="0DA147E4"/>
    <w:rsid w:val="0DD109D9"/>
    <w:rsid w:val="0E0D6212"/>
    <w:rsid w:val="0E3E6E02"/>
    <w:rsid w:val="0E470728"/>
    <w:rsid w:val="0E4A5955"/>
    <w:rsid w:val="0E965A1B"/>
    <w:rsid w:val="0EA00003"/>
    <w:rsid w:val="0EA34272"/>
    <w:rsid w:val="0ED62DEF"/>
    <w:rsid w:val="0F2512E7"/>
    <w:rsid w:val="0F6B0DAE"/>
    <w:rsid w:val="0FE00FEE"/>
    <w:rsid w:val="104F0E97"/>
    <w:rsid w:val="10B35C60"/>
    <w:rsid w:val="10B8476F"/>
    <w:rsid w:val="115B08F8"/>
    <w:rsid w:val="118A1EA3"/>
    <w:rsid w:val="11D60686"/>
    <w:rsid w:val="12A84DDA"/>
    <w:rsid w:val="12F257B8"/>
    <w:rsid w:val="12FF5F40"/>
    <w:rsid w:val="13786E03"/>
    <w:rsid w:val="13902DCD"/>
    <w:rsid w:val="13A937B9"/>
    <w:rsid w:val="141E4C5E"/>
    <w:rsid w:val="14716C9D"/>
    <w:rsid w:val="14723C01"/>
    <w:rsid w:val="15474636"/>
    <w:rsid w:val="15BD33AA"/>
    <w:rsid w:val="162D7643"/>
    <w:rsid w:val="163E6420"/>
    <w:rsid w:val="16B132BC"/>
    <w:rsid w:val="17080DB3"/>
    <w:rsid w:val="17116781"/>
    <w:rsid w:val="172D4773"/>
    <w:rsid w:val="174D762C"/>
    <w:rsid w:val="177949F9"/>
    <w:rsid w:val="17BC6573"/>
    <w:rsid w:val="17D65FF5"/>
    <w:rsid w:val="17E5516B"/>
    <w:rsid w:val="183D7FDC"/>
    <w:rsid w:val="18482ECA"/>
    <w:rsid w:val="184E2385"/>
    <w:rsid w:val="1892131F"/>
    <w:rsid w:val="18B03C3D"/>
    <w:rsid w:val="18CA092E"/>
    <w:rsid w:val="18EC678A"/>
    <w:rsid w:val="18FD7A9B"/>
    <w:rsid w:val="196E131A"/>
    <w:rsid w:val="19EE53EB"/>
    <w:rsid w:val="1A830A6A"/>
    <w:rsid w:val="1AC92A6D"/>
    <w:rsid w:val="1ACE1C46"/>
    <w:rsid w:val="1AE9469F"/>
    <w:rsid w:val="1B212E55"/>
    <w:rsid w:val="1B5C7F90"/>
    <w:rsid w:val="1B8445B0"/>
    <w:rsid w:val="1BFA783A"/>
    <w:rsid w:val="1C1116F4"/>
    <w:rsid w:val="1C3660E8"/>
    <w:rsid w:val="1C6B22BD"/>
    <w:rsid w:val="1C8C6335"/>
    <w:rsid w:val="1CD24975"/>
    <w:rsid w:val="1D3A2512"/>
    <w:rsid w:val="1D4713BF"/>
    <w:rsid w:val="1DA53DD3"/>
    <w:rsid w:val="1E0F46D6"/>
    <w:rsid w:val="1E592166"/>
    <w:rsid w:val="1F5A59CC"/>
    <w:rsid w:val="1F9717C7"/>
    <w:rsid w:val="1FC26F88"/>
    <w:rsid w:val="1FFB0172"/>
    <w:rsid w:val="2030621E"/>
    <w:rsid w:val="208849C4"/>
    <w:rsid w:val="20B973EB"/>
    <w:rsid w:val="20C44F2A"/>
    <w:rsid w:val="2107059F"/>
    <w:rsid w:val="213D0B0D"/>
    <w:rsid w:val="2141263E"/>
    <w:rsid w:val="216834F8"/>
    <w:rsid w:val="21E867FF"/>
    <w:rsid w:val="22E81018"/>
    <w:rsid w:val="22F25BE9"/>
    <w:rsid w:val="2381598F"/>
    <w:rsid w:val="23C87417"/>
    <w:rsid w:val="23D36F76"/>
    <w:rsid w:val="24282AA4"/>
    <w:rsid w:val="243416C3"/>
    <w:rsid w:val="24362F73"/>
    <w:rsid w:val="24617B66"/>
    <w:rsid w:val="24D869DD"/>
    <w:rsid w:val="24EC326C"/>
    <w:rsid w:val="254D7842"/>
    <w:rsid w:val="25891529"/>
    <w:rsid w:val="25A3617B"/>
    <w:rsid w:val="25B240EC"/>
    <w:rsid w:val="25CE35E7"/>
    <w:rsid w:val="25F3042F"/>
    <w:rsid w:val="262743E7"/>
    <w:rsid w:val="26312597"/>
    <w:rsid w:val="264A345A"/>
    <w:rsid w:val="267D3388"/>
    <w:rsid w:val="269018BF"/>
    <w:rsid w:val="26E41AAC"/>
    <w:rsid w:val="271E527D"/>
    <w:rsid w:val="27810B99"/>
    <w:rsid w:val="27AA0591"/>
    <w:rsid w:val="281770DA"/>
    <w:rsid w:val="282761E5"/>
    <w:rsid w:val="28493E98"/>
    <w:rsid w:val="28FD0212"/>
    <w:rsid w:val="290B59A6"/>
    <w:rsid w:val="297D4A58"/>
    <w:rsid w:val="29DE0AF0"/>
    <w:rsid w:val="29FD2A6F"/>
    <w:rsid w:val="2A501BC1"/>
    <w:rsid w:val="2A504143"/>
    <w:rsid w:val="2A8045E1"/>
    <w:rsid w:val="2A84031D"/>
    <w:rsid w:val="2A8B489C"/>
    <w:rsid w:val="2AAA51D3"/>
    <w:rsid w:val="2AAC48DE"/>
    <w:rsid w:val="2B2450D6"/>
    <w:rsid w:val="2B6B7FE0"/>
    <w:rsid w:val="2B896894"/>
    <w:rsid w:val="2B8E6729"/>
    <w:rsid w:val="2C0501F0"/>
    <w:rsid w:val="2C351338"/>
    <w:rsid w:val="2C8E450F"/>
    <w:rsid w:val="2CB4461D"/>
    <w:rsid w:val="2D453DDC"/>
    <w:rsid w:val="2DF7558E"/>
    <w:rsid w:val="2DFB2602"/>
    <w:rsid w:val="2E0722EC"/>
    <w:rsid w:val="2E225CC5"/>
    <w:rsid w:val="2F3B0381"/>
    <w:rsid w:val="2F6341CE"/>
    <w:rsid w:val="2F7A46EB"/>
    <w:rsid w:val="2F7D0596"/>
    <w:rsid w:val="2F96611A"/>
    <w:rsid w:val="2FE66E91"/>
    <w:rsid w:val="305329AD"/>
    <w:rsid w:val="30B83ED3"/>
    <w:rsid w:val="30F52E57"/>
    <w:rsid w:val="310B0D3A"/>
    <w:rsid w:val="313E047D"/>
    <w:rsid w:val="31652ADC"/>
    <w:rsid w:val="31742207"/>
    <w:rsid w:val="31B17C6F"/>
    <w:rsid w:val="32ED3EA4"/>
    <w:rsid w:val="33372FEB"/>
    <w:rsid w:val="33A47A6F"/>
    <w:rsid w:val="33CD1614"/>
    <w:rsid w:val="345F06C3"/>
    <w:rsid w:val="346B30DA"/>
    <w:rsid w:val="34A50D90"/>
    <w:rsid w:val="358A2A8E"/>
    <w:rsid w:val="35914E83"/>
    <w:rsid w:val="361657B0"/>
    <w:rsid w:val="365F649E"/>
    <w:rsid w:val="37134038"/>
    <w:rsid w:val="37632C43"/>
    <w:rsid w:val="37842C8F"/>
    <w:rsid w:val="37A8496C"/>
    <w:rsid w:val="384366C8"/>
    <w:rsid w:val="3869590F"/>
    <w:rsid w:val="38AB6519"/>
    <w:rsid w:val="38AF4885"/>
    <w:rsid w:val="391D34CD"/>
    <w:rsid w:val="39861815"/>
    <w:rsid w:val="39BC43D7"/>
    <w:rsid w:val="3A2B38A6"/>
    <w:rsid w:val="3AAE4A8C"/>
    <w:rsid w:val="3AE15663"/>
    <w:rsid w:val="3B2B2664"/>
    <w:rsid w:val="3BC8531F"/>
    <w:rsid w:val="3BD615C3"/>
    <w:rsid w:val="3C124910"/>
    <w:rsid w:val="3D092BBB"/>
    <w:rsid w:val="3D1C7E3A"/>
    <w:rsid w:val="3DC47C5E"/>
    <w:rsid w:val="3DC5440E"/>
    <w:rsid w:val="3DCA58C1"/>
    <w:rsid w:val="3E6C116D"/>
    <w:rsid w:val="3F351DB6"/>
    <w:rsid w:val="3F55645F"/>
    <w:rsid w:val="3F937C19"/>
    <w:rsid w:val="400A6A0F"/>
    <w:rsid w:val="40353BFC"/>
    <w:rsid w:val="403C5D12"/>
    <w:rsid w:val="403E6381"/>
    <w:rsid w:val="40B77CD6"/>
    <w:rsid w:val="411D263D"/>
    <w:rsid w:val="419E51BE"/>
    <w:rsid w:val="41FE2B42"/>
    <w:rsid w:val="42CC36C2"/>
    <w:rsid w:val="42E54260"/>
    <w:rsid w:val="42E57874"/>
    <w:rsid w:val="43052D08"/>
    <w:rsid w:val="430B7704"/>
    <w:rsid w:val="4321067D"/>
    <w:rsid w:val="43240248"/>
    <w:rsid w:val="43E5724E"/>
    <w:rsid w:val="4464468C"/>
    <w:rsid w:val="447C5FD2"/>
    <w:rsid w:val="44B27D56"/>
    <w:rsid w:val="453B4CD1"/>
    <w:rsid w:val="462B7DAF"/>
    <w:rsid w:val="46D164C8"/>
    <w:rsid w:val="474F7837"/>
    <w:rsid w:val="482F4D5D"/>
    <w:rsid w:val="485366FE"/>
    <w:rsid w:val="48CB42B6"/>
    <w:rsid w:val="498F0472"/>
    <w:rsid w:val="49D862D0"/>
    <w:rsid w:val="49DD7A9F"/>
    <w:rsid w:val="49FC4134"/>
    <w:rsid w:val="4A1836EE"/>
    <w:rsid w:val="4B1C14FB"/>
    <w:rsid w:val="4B7A2D02"/>
    <w:rsid w:val="4C007397"/>
    <w:rsid w:val="4C8367A6"/>
    <w:rsid w:val="4CC51533"/>
    <w:rsid w:val="4CE63794"/>
    <w:rsid w:val="4D4B47B3"/>
    <w:rsid w:val="4D8C7CAA"/>
    <w:rsid w:val="4DAD249C"/>
    <w:rsid w:val="4E232A3A"/>
    <w:rsid w:val="4EFA2B37"/>
    <w:rsid w:val="4FBA3CE1"/>
    <w:rsid w:val="4FCC308D"/>
    <w:rsid w:val="503E5E9A"/>
    <w:rsid w:val="50D377CD"/>
    <w:rsid w:val="50DE0A52"/>
    <w:rsid w:val="51CD7644"/>
    <w:rsid w:val="51DF5809"/>
    <w:rsid w:val="51F04B11"/>
    <w:rsid w:val="525F7614"/>
    <w:rsid w:val="52C330D5"/>
    <w:rsid w:val="52F15F29"/>
    <w:rsid w:val="535461B1"/>
    <w:rsid w:val="535E02E4"/>
    <w:rsid w:val="536C5EF7"/>
    <w:rsid w:val="53EE066F"/>
    <w:rsid w:val="541068B5"/>
    <w:rsid w:val="545C19FA"/>
    <w:rsid w:val="54710115"/>
    <w:rsid w:val="54E67DCC"/>
    <w:rsid w:val="552208F3"/>
    <w:rsid w:val="55230FAA"/>
    <w:rsid w:val="555A3BB8"/>
    <w:rsid w:val="55861E8A"/>
    <w:rsid w:val="55D14452"/>
    <w:rsid w:val="55DE136B"/>
    <w:rsid w:val="56022950"/>
    <w:rsid w:val="5674528D"/>
    <w:rsid w:val="573154EE"/>
    <w:rsid w:val="57480B5E"/>
    <w:rsid w:val="57A0331D"/>
    <w:rsid w:val="57B1273B"/>
    <w:rsid w:val="57B1556D"/>
    <w:rsid w:val="57E80C39"/>
    <w:rsid w:val="58806B06"/>
    <w:rsid w:val="58AD443E"/>
    <w:rsid w:val="59367283"/>
    <w:rsid w:val="5963106C"/>
    <w:rsid w:val="599F124D"/>
    <w:rsid w:val="59A0786E"/>
    <w:rsid w:val="59B85002"/>
    <w:rsid w:val="59C5586B"/>
    <w:rsid w:val="5A166C30"/>
    <w:rsid w:val="5A815562"/>
    <w:rsid w:val="5AB101B2"/>
    <w:rsid w:val="5B0C5BEC"/>
    <w:rsid w:val="5B940ADE"/>
    <w:rsid w:val="5C7A3231"/>
    <w:rsid w:val="5D0C5BCE"/>
    <w:rsid w:val="5D62120B"/>
    <w:rsid w:val="5DC10D9D"/>
    <w:rsid w:val="5DCB477E"/>
    <w:rsid w:val="5DD1765E"/>
    <w:rsid w:val="5DF946A8"/>
    <w:rsid w:val="5EAB2695"/>
    <w:rsid w:val="5ECC648B"/>
    <w:rsid w:val="5EDD62F3"/>
    <w:rsid w:val="5EF01BA1"/>
    <w:rsid w:val="5F6525DD"/>
    <w:rsid w:val="5F6A7067"/>
    <w:rsid w:val="5F6A7913"/>
    <w:rsid w:val="5F733A9C"/>
    <w:rsid w:val="5F9703E3"/>
    <w:rsid w:val="5FB42321"/>
    <w:rsid w:val="601420C9"/>
    <w:rsid w:val="61291E96"/>
    <w:rsid w:val="612D43EC"/>
    <w:rsid w:val="616A3066"/>
    <w:rsid w:val="618C3760"/>
    <w:rsid w:val="61C761C1"/>
    <w:rsid w:val="61E85CCF"/>
    <w:rsid w:val="620C0D76"/>
    <w:rsid w:val="622E2CEB"/>
    <w:rsid w:val="6271722A"/>
    <w:rsid w:val="62A20347"/>
    <w:rsid w:val="63DD50F7"/>
    <w:rsid w:val="643D756E"/>
    <w:rsid w:val="644613C2"/>
    <w:rsid w:val="646E4FC9"/>
    <w:rsid w:val="64B63257"/>
    <w:rsid w:val="650A3FF0"/>
    <w:rsid w:val="66081772"/>
    <w:rsid w:val="66096A29"/>
    <w:rsid w:val="665C3D19"/>
    <w:rsid w:val="665D4211"/>
    <w:rsid w:val="66731086"/>
    <w:rsid w:val="667D53C2"/>
    <w:rsid w:val="66992E7C"/>
    <w:rsid w:val="66A32CD6"/>
    <w:rsid w:val="66BD635E"/>
    <w:rsid w:val="66DB481D"/>
    <w:rsid w:val="671A6A72"/>
    <w:rsid w:val="674A18AC"/>
    <w:rsid w:val="67506F86"/>
    <w:rsid w:val="6797288F"/>
    <w:rsid w:val="67B17F9D"/>
    <w:rsid w:val="67E47BE9"/>
    <w:rsid w:val="68057A6F"/>
    <w:rsid w:val="68825084"/>
    <w:rsid w:val="68F573B6"/>
    <w:rsid w:val="69040046"/>
    <w:rsid w:val="69E31575"/>
    <w:rsid w:val="6A4205F2"/>
    <w:rsid w:val="6A8E0427"/>
    <w:rsid w:val="6AA85F85"/>
    <w:rsid w:val="6B09273B"/>
    <w:rsid w:val="6B0F418C"/>
    <w:rsid w:val="6B7E09D1"/>
    <w:rsid w:val="6BAE2D5B"/>
    <w:rsid w:val="6C3D4E2E"/>
    <w:rsid w:val="6C811CE6"/>
    <w:rsid w:val="6CA84691"/>
    <w:rsid w:val="6D486E06"/>
    <w:rsid w:val="6D7B1872"/>
    <w:rsid w:val="6D911ED6"/>
    <w:rsid w:val="6D975E1F"/>
    <w:rsid w:val="6DD75221"/>
    <w:rsid w:val="6DFC0F5D"/>
    <w:rsid w:val="6E437561"/>
    <w:rsid w:val="6E4B7A43"/>
    <w:rsid w:val="6FB47BD2"/>
    <w:rsid w:val="6FCF5F9D"/>
    <w:rsid w:val="70232CD9"/>
    <w:rsid w:val="70D16C97"/>
    <w:rsid w:val="711843A8"/>
    <w:rsid w:val="71420E14"/>
    <w:rsid w:val="71741C0F"/>
    <w:rsid w:val="719A0A2A"/>
    <w:rsid w:val="71D540D1"/>
    <w:rsid w:val="72905297"/>
    <w:rsid w:val="72ED5A66"/>
    <w:rsid w:val="73027376"/>
    <w:rsid w:val="73216CB0"/>
    <w:rsid w:val="734F2F0D"/>
    <w:rsid w:val="73933951"/>
    <w:rsid w:val="74254A61"/>
    <w:rsid w:val="74BD26BE"/>
    <w:rsid w:val="75313E92"/>
    <w:rsid w:val="75937DBF"/>
    <w:rsid w:val="75B4554A"/>
    <w:rsid w:val="75D903BC"/>
    <w:rsid w:val="7614710E"/>
    <w:rsid w:val="77A62C83"/>
    <w:rsid w:val="78184410"/>
    <w:rsid w:val="78920B37"/>
    <w:rsid w:val="79025DA7"/>
    <w:rsid w:val="79535FA4"/>
    <w:rsid w:val="7962248D"/>
    <w:rsid w:val="798D0ED5"/>
    <w:rsid w:val="7A150EB4"/>
    <w:rsid w:val="7A45315C"/>
    <w:rsid w:val="7A5E3121"/>
    <w:rsid w:val="7A6E1234"/>
    <w:rsid w:val="7A7A096F"/>
    <w:rsid w:val="7A8772A8"/>
    <w:rsid w:val="7AC95900"/>
    <w:rsid w:val="7B134318"/>
    <w:rsid w:val="7B361025"/>
    <w:rsid w:val="7B741DC4"/>
    <w:rsid w:val="7B925CBC"/>
    <w:rsid w:val="7BFA594C"/>
    <w:rsid w:val="7C091E5E"/>
    <w:rsid w:val="7C2E65A9"/>
    <w:rsid w:val="7C7F57A0"/>
    <w:rsid w:val="7C96303F"/>
    <w:rsid w:val="7CD60F03"/>
    <w:rsid w:val="7D8C67C8"/>
    <w:rsid w:val="7D9C68D5"/>
    <w:rsid w:val="7E464366"/>
    <w:rsid w:val="7EC503FD"/>
    <w:rsid w:val="7ED27869"/>
    <w:rsid w:val="7EDB50A4"/>
    <w:rsid w:val="7F3F1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link w:val="5"/>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customStyle="1" w:styleId="5">
    <w:name w:val="正文1 Char Char Char"/>
    <w:basedOn w:val="1"/>
    <w:link w:val="4"/>
    <w:qFormat/>
    <w:uiPriority w:val="0"/>
    <w:pPr>
      <w:spacing w:line="360" w:lineRule="auto"/>
      <w:ind w:firstLine="200" w:firstLineChars="200"/>
    </w:pPr>
  </w:style>
  <w:style w:type="character" w:styleId="6">
    <w:name w:val="page number"/>
    <w:basedOn w:val="4"/>
    <w:qFormat/>
    <w:uiPriority w:val="0"/>
  </w:style>
  <w:style w:type="paragraph" w:customStyle="1" w:styleId="7">
    <w:name w:val="WPSOffice手动目录 1"/>
    <w:qFormat/>
    <w:uiPriority w:val="0"/>
    <w:pPr>
      <w:ind w:leftChars="0"/>
    </w:pPr>
    <w:rPr>
      <w:rFonts w:ascii="Times New Roman" w:hAnsi="Times New Roman" w:eastAsia="宋体" w:cs="Times New Roman"/>
      <w:sz w:val="20"/>
      <w:szCs w:val="20"/>
    </w:rPr>
  </w:style>
  <w:style w:type="paragraph" w:customStyle="1" w:styleId="8">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2021-08-31T09:12:00Z</dcterms:created>
  <dc:creator>lenovo</dc:creator>
  <cp:lastModifiedBy>lenovo</cp:lastModifiedBy>
  <dcterms:modified xsi:type="dcterms:W3CDTF">2021-09-01T08:54:19Z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