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ˎ̥" w:eastAsia="黑体"/>
          <w:sz w:val="44"/>
          <w:szCs w:val="44"/>
        </w:rPr>
      </w:pPr>
      <w:r>
        <w:rPr>
          <w:rFonts w:hint="eastAsia" w:ascii="黑体" w:hAnsi="ˎ̥" w:eastAsia="黑体"/>
          <w:sz w:val="44"/>
          <w:szCs w:val="44"/>
          <w:lang w:eastAsia="zh-CN"/>
        </w:rPr>
        <w:t>昌江</w:t>
      </w:r>
      <w:r>
        <w:rPr>
          <w:rFonts w:hint="eastAsia" w:ascii="黑体" w:hAnsi="ˎ̥" w:eastAsia="黑体"/>
          <w:sz w:val="44"/>
          <w:szCs w:val="44"/>
        </w:rPr>
        <w:t>黎族自治县人民检察院</w:t>
      </w:r>
    </w:p>
    <w:p>
      <w:pPr>
        <w:jc w:val="center"/>
        <w:rPr>
          <w:rFonts w:hint="eastAsia" w:ascii="黑体" w:hAnsi="ˎ̥" w:eastAsia="黑体"/>
          <w:sz w:val="44"/>
          <w:szCs w:val="44"/>
        </w:rPr>
      </w:pPr>
      <w:r>
        <w:rPr>
          <w:rFonts w:hint="eastAsia" w:ascii="黑体" w:hAnsi="ˎ̥" w:eastAsia="黑体"/>
          <w:sz w:val="44"/>
          <w:szCs w:val="44"/>
        </w:rPr>
        <w:t>2019年度部门决算</w:t>
      </w:r>
    </w:p>
    <w:p>
      <w:pPr>
        <w:jc w:val="center"/>
        <w:rPr>
          <w:rFonts w:hint="eastAsia" w:ascii="黑体" w:hAnsi="ˎ̥" w:eastAsia="黑体"/>
          <w:b/>
          <w:sz w:val="32"/>
          <w:szCs w:val="32"/>
        </w:rPr>
      </w:pPr>
    </w:p>
    <w:p>
      <w:pPr>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4"/>
        <w:tabs>
          <w:tab w:val="right" w:leader="dot" w:pos="8306"/>
        </w:tabs>
        <w:rPr>
          <w:sz w:val="32"/>
          <w:szCs w:val="32"/>
        </w:rPr>
      </w:pPr>
      <w:r>
        <w:rPr>
          <w:sz w:val="32"/>
          <w:szCs w:val="32"/>
        </w:rPr>
        <w:fldChar w:fldCharType="begin"/>
      </w:r>
      <w:r>
        <w:rPr>
          <w:sz w:val="32"/>
          <w:szCs w:val="32"/>
        </w:rPr>
        <w:instrText xml:space="preserve"> HYPERLINK \l _Toc1704_WPSOffice_Level1 </w:instrText>
      </w:r>
      <w:r>
        <w:rPr>
          <w:sz w:val="32"/>
          <w:szCs w:val="32"/>
        </w:rPr>
        <w:fldChar w:fldCharType="separate"/>
      </w:r>
      <w:r>
        <w:rPr>
          <w:rFonts w:hint="eastAsia" w:ascii="黑体" w:hAnsi="ˎ̥" w:eastAsia="黑体"/>
          <w:sz w:val="32"/>
          <w:szCs w:val="32"/>
        </w:rPr>
        <w:t xml:space="preserve">第一部分  </w:t>
      </w:r>
      <w:r>
        <w:rPr>
          <w:rFonts w:hint="eastAsia" w:ascii="黑体" w:hAnsi="ˎ̥" w:eastAsia="黑体"/>
          <w:sz w:val="32"/>
          <w:szCs w:val="32"/>
          <w:lang w:eastAsia="zh-CN"/>
        </w:rPr>
        <w:t>昌江</w:t>
      </w:r>
      <w:r>
        <w:rPr>
          <w:rFonts w:hint="eastAsia" w:ascii="黑体" w:hAnsi="ˎ̥" w:eastAsia="黑体"/>
          <w:sz w:val="32"/>
          <w:szCs w:val="32"/>
        </w:rPr>
        <w:t>黎族自治县人民检察院部门概况</w:t>
      </w:r>
      <w:r>
        <w:rPr>
          <w:sz w:val="32"/>
          <w:szCs w:val="32"/>
        </w:rPr>
        <w:tab/>
      </w:r>
      <w:r>
        <w:rPr>
          <w:rFonts w:hint="eastAsia"/>
          <w:sz w:val="32"/>
          <w:szCs w:val="32"/>
        </w:rPr>
        <w:t>3</w:t>
      </w:r>
      <w:r>
        <w:rPr>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4"/>
        <w:tabs>
          <w:tab w:val="right" w:leader="dot" w:pos="8306"/>
        </w:tabs>
        <w:rPr>
          <w:sz w:val="32"/>
          <w:szCs w:val="32"/>
        </w:rPr>
      </w:pPr>
      <w:r>
        <w:rPr>
          <w:sz w:val="32"/>
          <w:szCs w:val="32"/>
        </w:rPr>
        <w:fldChar w:fldCharType="begin"/>
      </w:r>
      <w:r>
        <w:rPr>
          <w:sz w:val="32"/>
          <w:szCs w:val="32"/>
        </w:rPr>
        <w:instrText xml:space="preserve"> HYPERLINK \l _Toc28253_WPSOffice_Level1 </w:instrText>
      </w:r>
      <w:r>
        <w:rPr>
          <w:sz w:val="32"/>
          <w:szCs w:val="32"/>
        </w:rPr>
        <w:fldChar w:fldCharType="separate"/>
      </w:r>
      <w:r>
        <w:rPr>
          <w:rFonts w:hint="eastAsia" w:ascii="黑体" w:hAnsi="ˎ̥" w:eastAsia="黑体"/>
          <w:sz w:val="32"/>
          <w:szCs w:val="32"/>
        </w:rPr>
        <w:t xml:space="preserve">第二部分  </w:t>
      </w:r>
      <w:r>
        <w:rPr>
          <w:rFonts w:hint="eastAsia" w:ascii="黑体" w:hAnsi="ˎ̥" w:eastAsia="黑体"/>
          <w:sz w:val="32"/>
          <w:szCs w:val="32"/>
          <w:lang w:eastAsia="zh-CN"/>
        </w:rPr>
        <w:t>昌江</w:t>
      </w:r>
      <w:r>
        <w:rPr>
          <w:rFonts w:hint="eastAsia" w:ascii="黑体" w:hAnsi="ˎ̥" w:eastAsia="黑体"/>
          <w:sz w:val="32"/>
          <w:szCs w:val="32"/>
        </w:rPr>
        <w:t>黎族自治县人民检察院2019年度部门决算批复表</w:t>
      </w:r>
      <w:r>
        <w:rPr>
          <w:sz w:val="32"/>
          <w:szCs w:val="32"/>
        </w:rPr>
        <w:tab/>
      </w:r>
      <w:r>
        <w:rPr>
          <w:rFonts w:hint="eastAsia"/>
          <w:sz w:val="32"/>
          <w:szCs w:val="32"/>
        </w:rPr>
        <w:t>5</w:t>
      </w:r>
      <w:r>
        <w:rPr>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一、收入支出决算批复表</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二、收入决算批复表</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三、支出决算批复表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四、 财政拨款收入支出决算批复表</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五、一般公共预算财政拨款收入支出决算批复表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六、一般公共预算财政拨款基本支出决算批复表</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七、政府性基金预算财政拨款收入支出决算批复表</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八、一般公共预算财政拨款“三公”经费支出决算批复表</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九、政府性基金预算财政拨款“三公”经费支出决算批复表</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4"/>
        <w:tabs>
          <w:tab w:val="right" w:leader="dot" w:pos="8306"/>
        </w:tabs>
        <w:rPr>
          <w:sz w:val="32"/>
          <w:szCs w:val="32"/>
        </w:rPr>
      </w:pPr>
      <w:r>
        <w:rPr>
          <w:sz w:val="32"/>
          <w:szCs w:val="32"/>
        </w:rPr>
        <w:fldChar w:fldCharType="begin"/>
      </w:r>
      <w:r>
        <w:rPr>
          <w:sz w:val="32"/>
          <w:szCs w:val="32"/>
        </w:rPr>
        <w:instrText xml:space="preserve"> HYPERLINK \l _Toc27590_WPSOffice_Level1 </w:instrText>
      </w:r>
      <w:r>
        <w:rPr>
          <w:sz w:val="32"/>
          <w:szCs w:val="32"/>
        </w:rP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lang w:eastAsia="zh-CN"/>
        </w:rPr>
        <w:t>昌江</w:t>
      </w:r>
      <w:r>
        <w:rPr>
          <w:rFonts w:hint="eastAsia" w:ascii="黑体" w:hAnsi="ˎ̥" w:eastAsia="黑体"/>
          <w:sz w:val="32"/>
          <w:szCs w:val="32"/>
        </w:rPr>
        <w:t>黎族自治县人民检察院2019年度部门决算情况说明</w:t>
      </w:r>
      <w:r>
        <w:rPr>
          <w:sz w:val="32"/>
          <w:szCs w:val="32"/>
        </w:rPr>
        <w:tab/>
      </w:r>
      <w:r>
        <w:rPr>
          <w:rFonts w:hint="eastAsia"/>
          <w:sz w:val="32"/>
          <w:szCs w:val="32"/>
        </w:rPr>
        <w:t>6</w:t>
      </w:r>
      <w:r>
        <w:rPr>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7</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四、财政拨款收入支出决算总体情况说明</w:t>
      </w:r>
      <w:r>
        <w:rPr>
          <w:rFonts w:hint="eastAsia" w:ascii="仿宋" w:hAnsi="仿宋" w:eastAsia="仿宋" w:cs="仿宋"/>
          <w:sz w:val="32"/>
          <w:szCs w:val="32"/>
        </w:rPr>
        <w:tab/>
      </w:r>
      <w:r>
        <w:rPr>
          <w:rFonts w:hint="eastAsia" w:ascii="仿宋" w:hAnsi="仿宋" w:eastAsia="仿宋" w:cs="仿宋"/>
          <w:sz w:val="32"/>
          <w:szCs w:val="32"/>
        </w:rPr>
        <w:t>7</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7</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9</w:t>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9</w:t>
      </w:r>
    </w:p>
    <w:p>
      <w:pPr>
        <w:rPr>
          <w:rFonts w:hint="eastAsia"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八、</w:t>
      </w:r>
      <w:r>
        <w:rPr>
          <w:rFonts w:hint="eastAsia" w:ascii="仿宋" w:hAnsi="仿宋" w:eastAsia="仿宋" w:cs="仿宋"/>
          <w:bCs/>
          <w:w w:val="98"/>
          <w:sz w:val="32"/>
          <w:szCs w:val="32"/>
        </w:rPr>
        <w:t>一般公共预算财政拨款“三公”经费支出决算情况说明</w:t>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9</w:t>
      </w:r>
      <w:r>
        <w:rPr>
          <w:rFonts w:hint="eastAsia" w:ascii="仿宋" w:hAnsi="仿宋" w:eastAsia="仿宋" w:cs="仿宋"/>
          <w:sz w:val="32"/>
          <w:szCs w:val="32"/>
        </w:rPr>
        <w:fldChar w:fldCharType="end"/>
      </w:r>
    </w:p>
    <w:p>
      <w:pPr>
        <w:rPr>
          <w:rFonts w:hint="eastAsia"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政府性基金预算财政拨款“三公”经费支出决算情况说明</w:t>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11</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十、预算绩效情况说明</w:t>
      </w:r>
      <w:r>
        <w:rPr>
          <w:rFonts w:hint="eastAsia" w:ascii="仿宋" w:hAnsi="仿宋" w:eastAsia="仿宋" w:cs="仿宋"/>
          <w:sz w:val="32"/>
          <w:szCs w:val="32"/>
        </w:rPr>
        <w:tab/>
      </w:r>
      <w:r>
        <w:rPr>
          <w:rFonts w:hint="eastAsia" w:ascii="仿宋" w:hAnsi="仿宋" w:eastAsia="仿宋" w:cs="仿宋"/>
          <w:sz w:val="32"/>
          <w:szCs w:val="32"/>
        </w:rPr>
        <w:t>11</w:t>
      </w:r>
      <w:r>
        <w:rPr>
          <w:rFonts w:hint="eastAsia" w:ascii="仿宋" w:hAnsi="仿宋" w:eastAsia="仿宋" w:cs="仿宋"/>
          <w:sz w:val="32"/>
          <w:szCs w:val="32"/>
        </w:rPr>
        <w:fldChar w:fldCharType="end"/>
      </w:r>
    </w:p>
    <w:p>
      <w:pPr>
        <w:pStyle w:val="5"/>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十一、其他重要事项情况说明</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4"/>
        <w:tabs>
          <w:tab w:val="right" w:leader="dot" w:pos="8306"/>
        </w:tabs>
        <w:rPr>
          <w:sz w:val="32"/>
          <w:szCs w:val="32"/>
        </w:rPr>
      </w:pPr>
      <w:r>
        <w:rPr>
          <w:sz w:val="32"/>
          <w:szCs w:val="32"/>
        </w:rPr>
        <w:fldChar w:fldCharType="begin"/>
      </w:r>
      <w:r>
        <w:rPr>
          <w:sz w:val="32"/>
          <w:szCs w:val="32"/>
        </w:rPr>
        <w:instrText xml:space="preserve"> HYPERLINK \l _Toc15425_WPSOffice_Level1 </w:instrText>
      </w:r>
      <w:r>
        <w:rPr>
          <w:sz w:val="32"/>
          <w:szCs w:val="32"/>
        </w:rPr>
        <w:fldChar w:fldCharType="separate"/>
      </w:r>
      <w:r>
        <w:rPr>
          <w:rFonts w:hint="eastAsia" w:ascii="黑体" w:hAnsi="ˎ̥" w:eastAsia="黑体"/>
          <w:sz w:val="32"/>
          <w:szCs w:val="32"/>
        </w:rPr>
        <w:t>第四部分  名词解释</w:t>
      </w:r>
      <w:r>
        <w:rPr>
          <w:sz w:val="32"/>
          <w:szCs w:val="32"/>
        </w:rPr>
        <w:tab/>
      </w:r>
      <w:r>
        <w:rPr>
          <w:rFonts w:hint="eastAsia"/>
          <w:sz w:val="32"/>
          <w:szCs w:val="32"/>
        </w:rPr>
        <w:t>1</w:t>
      </w:r>
      <w:r>
        <w:rPr>
          <w:rFonts w:hint="eastAsia"/>
          <w:sz w:val="32"/>
          <w:szCs w:val="32"/>
          <w:lang w:val="en-US" w:eastAsia="zh-CN"/>
        </w:rPr>
        <w:t>4</w:t>
      </w:r>
      <w:r>
        <w:rPr>
          <w:sz w:val="32"/>
          <w:szCs w:val="32"/>
        </w:rPr>
        <w:fldChar w:fldCharType="end"/>
      </w:r>
      <w:bookmarkEnd w:id="0"/>
    </w:p>
    <w:p>
      <w:pPr>
        <w:jc w:val="left"/>
        <w:rPr>
          <w:rFonts w:hint="eastAsia" w:ascii="黑体" w:hAnsi="黑体" w:eastAsia="黑体" w:cs="黑体"/>
          <w:sz w:val="32"/>
          <w:szCs w:val="32"/>
        </w:rPr>
      </w:pPr>
    </w:p>
    <w:p>
      <w:pPr>
        <w:jc w:val="center"/>
        <w:rPr>
          <w:rFonts w:hint="eastAsia" w:ascii="黑体" w:hAnsi="ˎ̥" w:eastAsia="黑体"/>
          <w:b/>
          <w:sz w:val="32"/>
          <w:szCs w:val="32"/>
        </w:rPr>
      </w:pPr>
    </w:p>
    <w:p>
      <w:pPr>
        <w:jc w:val="center"/>
        <w:rPr>
          <w:rFonts w:hint="eastAsia" w:ascii="黑体" w:hAnsi="ˎ̥" w:eastAsia="黑体"/>
          <w:b/>
          <w:sz w:val="32"/>
          <w:szCs w:val="32"/>
        </w:rPr>
      </w:pPr>
    </w:p>
    <w:p>
      <w:pPr>
        <w:jc w:val="center"/>
        <w:rPr>
          <w:rFonts w:hint="eastAsia" w:ascii="黑体" w:hAnsi="ˎ̥" w:eastAsia="黑体"/>
          <w:b/>
          <w:sz w:val="32"/>
          <w:szCs w:val="32"/>
        </w:rPr>
      </w:pPr>
    </w:p>
    <w:p>
      <w:pPr>
        <w:jc w:val="center"/>
        <w:rPr>
          <w:rFonts w:hint="eastAsia" w:ascii="黑体" w:hAnsi="ˎ̥" w:eastAsia="黑体"/>
          <w:b/>
          <w:sz w:val="32"/>
          <w:szCs w:val="32"/>
        </w:rPr>
      </w:pPr>
    </w:p>
    <w:p>
      <w:pPr>
        <w:jc w:val="center"/>
        <w:rPr>
          <w:rFonts w:hint="eastAsia" w:ascii="黑体" w:hAnsi="ˎ̥" w:eastAsia="黑体"/>
          <w:b/>
          <w:sz w:val="32"/>
          <w:szCs w:val="32"/>
        </w:rPr>
      </w:pPr>
    </w:p>
    <w:p>
      <w:pPr>
        <w:jc w:val="center"/>
        <w:rPr>
          <w:rFonts w:hint="eastAsia" w:ascii="黑体" w:hAnsi="ˎ̥" w:eastAsia="黑体"/>
          <w:b/>
          <w:sz w:val="32"/>
          <w:szCs w:val="32"/>
        </w:rPr>
      </w:pPr>
    </w:p>
    <w:p>
      <w:pPr>
        <w:rPr>
          <w:rFonts w:hint="eastAsia" w:ascii="黑体" w:hAnsi="ˎ̥" w:eastAsia="黑体"/>
          <w:b/>
          <w:sz w:val="32"/>
          <w:szCs w:val="32"/>
        </w:rPr>
      </w:pPr>
    </w:p>
    <w:p>
      <w:pPr>
        <w:jc w:val="center"/>
        <w:rPr>
          <w:rFonts w:hint="eastAsia" w:ascii="黑体" w:hAnsi="ˎ̥" w:eastAsia="黑体"/>
          <w:sz w:val="32"/>
          <w:szCs w:val="32"/>
        </w:rPr>
      </w:pPr>
      <w:bookmarkStart w:id="1" w:name="_Toc1704_WPSOffice_Level1"/>
      <w:bookmarkStart w:id="2" w:name="_Toc23465_WPSOffice_Level1"/>
      <w:bookmarkStart w:id="3" w:name="_Toc22941_WPSOffice_Level1"/>
      <w:bookmarkStart w:id="4" w:name="_Toc32433_WPSOffice_Level1"/>
      <w:bookmarkStart w:id="5" w:name="_Toc10049_WPSOffice_Level1"/>
      <w:bookmarkStart w:id="6" w:name="_Toc10720_WPSOffice_Level1"/>
      <w:bookmarkStart w:id="7" w:name="_Toc32622_WPSOffice_Level2"/>
      <w:bookmarkStart w:id="8" w:name="_Toc20274_WPSOffice_Level2"/>
      <w:bookmarkStart w:id="9" w:name="_Toc14159_WPSOffice_Level2"/>
      <w:bookmarkStart w:id="10" w:name="_Toc20205_WPSOffice_Level2"/>
      <w:bookmarkStart w:id="11" w:name="_Toc26580_WPSOffice_Level2"/>
      <w:bookmarkStart w:id="12" w:name="_Toc24238_WPSOffice_Level2"/>
    </w:p>
    <w:p>
      <w:pPr>
        <w:jc w:val="center"/>
        <w:rPr>
          <w:rFonts w:hint="eastAsia" w:ascii="黑体" w:hAnsi="ˎ̥" w:eastAsia="黑体"/>
          <w:sz w:val="32"/>
          <w:szCs w:val="32"/>
        </w:rPr>
      </w:pPr>
      <w:r>
        <w:rPr>
          <w:rFonts w:hint="eastAsia" w:ascii="黑体" w:hAnsi="ˎ̥" w:eastAsia="黑体"/>
          <w:sz w:val="32"/>
          <w:szCs w:val="32"/>
        </w:rPr>
        <w:t xml:space="preserve">第一部分  </w:t>
      </w:r>
      <w:r>
        <w:rPr>
          <w:rFonts w:hint="eastAsia" w:ascii="黑体" w:hAnsi="ˎ̥" w:eastAsia="黑体"/>
          <w:sz w:val="32"/>
          <w:szCs w:val="32"/>
          <w:lang w:eastAsia="zh-CN"/>
        </w:rPr>
        <w:t>昌江</w:t>
      </w:r>
      <w:r>
        <w:rPr>
          <w:rFonts w:hint="eastAsia" w:ascii="黑体" w:hAnsi="ˎ̥" w:eastAsia="黑体"/>
          <w:sz w:val="32"/>
          <w:szCs w:val="32"/>
        </w:rPr>
        <w:t>黎族自治县人民检察院部门概况</w:t>
      </w:r>
      <w:bookmarkEnd w:id="1"/>
      <w:bookmarkEnd w:id="2"/>
      <w:bookmarkEnd w:id="3"/>
      <w:bookmarkEnd w:id="4"/>
      <w:bookmarkEnd w:id="5"/>
      <w:bookmarkEnd w:id="6"/>
    </w:p>
    <w:p>
      <w:pPr>
        <w:jc w:val="center"/>
        <w:rPr>
          <w:rFonts w:hint="eastAsia" w:ascii="黑体" w:hAnsi="ˎ̥" w:eastAsia="黑体"/>
          <w:sz w:val="32"/>
          <w:szCs w:val="32"/>
        </w:rPr>
      </w:pPr>
    </w:p>
    <w:bookmarkEnd w:id="7"/>
    <w:bookmarkEnd w:id="8"/>
    <w:bookmarkEnd w:id="9"/>
    <w:bookmarkEnd w:id="10"/>
    <w:bookmarkEnd w:id="11"/>
    <w:bookmarkEnd w:id="12"/>
    <w:p>
      <w:pPr>
        <w:ind w:firstLine="640" w:firstLineChars="200"/>
        <w:rPr>
          <w:rFonts w:hint="eastAsia" w:ascii="黑体" w:hAnsi="黑体" w:eastAsia="黑体" w:cs="黑体"/>
          <w:sz w:val="32"/>
          <w:szCs w:val="32"/>
        </w:rPr>
      </w:pPr>
      <w:r>
        <w:rPr>
          <w:rFonts w:hint="eastAsia" w:ascii="黑体" w:hAnsi="黑体" w:eastAsia="黑体" w:cs="黑体"/>
          <w:sz w:val="32"/>
          <w:szCs w:val="32"/>
        </w:rPr>
        <w:t>一、部门职责</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昌江</w:t>
      </w:r>
      <w:r>
        <w:rPr>
          <w:rFonts w:hint="eastAsia" w:ascii="仿宋_GB2312" w:hAnsi="ˎ̥" w:eastAsia="仿宋_GB2312"/>
          <w:sz w:val="32"/>
          <w:szCs w:val="32"/>
        </w:rPr>
        <w:t>黎族自治县人民检察院是基层检察机关，在县委和上级检察机关的领导下依法履行职责，对</w:t>
      </w:r>
      <w:r>
        <w:rPr>
          <w:rFonts w:hint="eastAsia" w:ascii="仿宋_GB2312" w:hAnsi="ˎ̥" w:eastAsia="仿宋_GB2312"/>
          <w:sz w:val="32"/>
          <w:szCs w:val="32"/>
          <w:lang w:eastAsia="zh-CN"/>
        </w:rPr>
        <w:t>昌江</w:t>
      </w:r>
      <w:r>
        <w:rPr>
          <w:rFonts w:hint="eastAsia" w:ascii="仿宋_GB2312" w:hAnsi="ˎ̥" w:eastAsia="仿宋_GB2312"/>
          <w:sz w:val="32"/>
          <w:szCs w:val="32"/>
        </w:rPr>
        <w:t>黎族自治县人民代表大会及其常务委员会负责并报告工作。</w:t>
      </w:r>
      <w:r>
        <w:rPr>
          <w:rFonts w:hint="eastAsia" w:ascii="仿宋_GB2312" w:hAnsi="ˎ̥" w:eastAsia="仿宋_GB2312"/>
          <w:sz w:val="32"/>
          <w:szCs w:val="32"/>
          <w:lang w:eastAsia="zh-CN"/>
        </w:rPr>
        <w:t>昌江</w:t>
      </w:r>
      <w:r>
        <w:rPr>
          <w:rFonts w:hint="eastAsia" w:ascii="仿宋_GB2312" w:hAnsi="ˎ̥" w:eastAsia="仿宋_GB2312"/>
          <w:sz w:val="32"/>
          <w:szCs w:val="32"/>
        </w:rPr>
        <w:t>黎族自治县人民检察院的主要职责是：</w:t>
      </w:r>
    </w:p>
    <w:p>
      <w:pPr>
        <w:snapToGrid w:val="0"/>
        <w:spacing w:line="620" w:lineRule="exact"/>
        <w:ind w:firstLine="640" w:firstLineChars="200"/>
        <w:rPr>
          <w:rFonts w:hint="eastAsia" w:ascii="仿宋_GB2312" w:hAnsi="ˎ̥" w:eastAsia="仿宋_GB2312"/>
          <w:sz w:val="32"/>
          <w:szCs w:val="32"/>
        </w:rPr>
      </w:pPr>
      <w:r>
        <w:rPr>
          <w:rFonts w:ascii="仿宋_GB2312" w:hAnsi="ˎ̥" w:eastAsia="仿宋_GB2312"/>
          <w:sz w:val="32"/>
          <w:szCs w:val="32"/>
        </w:rPr>
        <w:t xml:space="preserve"> </w:t>
      </w:r>
      <w:r>
        <w:rPr>
          <w:rFonts w:hint="eastAsia" w:ascii="仿宋_GB2312" w:hAnsi="ˎ̥" w:eastAsia="仿宋_GB2312"/>
          <w:sz w:val="32"/>
          <w:szCs w:val="32"/>
        </w:rPr>
        <w:t>（一）深入贯彻习近平新时代中国特色社会主义思想，深入贯彻党的路线方针政策和决策部署，统一本院检察干警思想和行动，坚持党对检察工作的绝对领导，坚决维护习近平总书记的核心地位，坚决维护党中央权威和集中统一领导。</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（二）依法向</w:t>
      </w:r>
      <w:r>
        <w:rPr>
          <w:rFonts w:hint="eastAsia" w:ascii="仿宋_GB2312" w:hAnsi="ˎ̥" w:eastAsia="仿宋_GB2312"/>
          <w:sz w:val="32"/>
          <w:szCs w:val="32"/>
          <w:lang w:eastAsia="zh-CN"/>
        </w:rPr>
        <w:t>昌江</w:t>
      </w:r>
      <w:r>
        <w:rPr>
          <w:rFonts w:hint="eastAsia" w:ascii="仿宋_GB2312" w:hAnsi="ˎ̥" w:eastAsia="仿宋_GB2312"/>
          <w:sz w:val="32"/>
          <w:szCs w:val="32"/>
        </w:rPr>
        <w:t>黎族自治县人民代表大会及其常务委员会提出议案。</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（三）落实上级检察机关研究制定的工作计划、发展规划，结合本县党委中心工作，制定本院检察工作计划，落实检察工作任务。</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（四）依照法律规定对本院直接受理的刑事案件和上级检察机关交办的案件行使侦查权。</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（五）负责对由本院直接办理或上级检察机关交办的刑事案件依法审查批准逮捕、决定逮捕、提起公诉。</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（六）负责辖区内刑事、民事、行政诉讼活动及刑事、民事、行政判决和裁定等生效法律文书执行的法律监督工作。</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（七）依法对辖区内人民法院确有错误的判决和裁定提起抗诉或提请抗诉。</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（八）负责应由本院承办的提起公益诉讼工作。</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（九）负责辖区内看守所、社区矫正机构等执法活动的法律监督工作。</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（十）受理向本院提出的控告申诉。</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（十一）对检察工作中具体应用法律的问题进行调查研究，依程序向立法机关和上级检察机关提出立法以及司法解释建议。</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（十二）开展检察理论研究工作。</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（十三）负责本院队伍建设、思想政治工作和意识形态工作。配合省人民检察院，协同省机构编制部门管理本院的机构设置及人员编制，制定本院相关人员管理办法。负责组织开展本院教育培训工作。</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（十四）协同组织部门依照干部管理权限，对本院检察官进行登记评定和晋升、考核、调配，对本院其他检察人员进行考核、调配、任免。</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（十五）负责本院的检务督察工作。</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（十六）负责本院的财务装备管理工作。</w:t>
      </w:r>
    </w:p>
    <w:p>
      <w:pPr>
        <w:snapToGrid w:val="0"/>
        <w:spacing w:line="62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（十七）完成县委、县人大和上级人民检察院交办的其他工作。</w:t>
      </w:r>
    </w:p>
    <w:p>
      <w:pPr>
        <w:ind w:firstLine="640" w:firstLineChars="200"/>
        <w:rPr>
          <w:rFonts w:hint="eastAsia" w:ascii="黑体" w:hAnsi="黑体" w:eastAsia="黑体" w:cs="黑体"/>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二、机构设置</w:t>
      </w:r>
    </w:p>
    <w:p>
      <w:pPr>
        <w:ind w:firstLine="480" w:firstLineChars="150"/>
        <w:outlineLvl w:val="0"/>
        <w:rPr>
          <w:rFonts w:ascii="仿宋_GB2312" w:hAnsi="Arial Unicode MS" w:eastAsia="仿宋_GB2312" w:cs="Arial Unicode MS"/>
          <w:color w:val="000000"/>
          <w:sz w:val="32"/>
          <w:szCs w:val="32"/>
        </w:rPr>
      </w:pPr>
      <w:r>
        <w:rPr>
          <w:rFonts w:hint="eastAsia" w:ascii="仿宋_GB2312" w:hAnsi="Arial Unicode MS" w:eastAsia="仿宋_GB2312" w:cs="Arial Unicode MS"/>
          <w:color w:val="000000"/>
          <w:sz w:val="32"/>
          <w:szCs w:val="32"/>
        </w:rPr>
        <w:t>2019年度</w:t>
      </w:r>
      <w:r>
        <w:rPr>
          <w:rFonts w:hint="eastAsia" w:ascii="仿宋_GB2312" w:hAnsi="Arial Unicode MS" w:eastAsia="仿宋_GB2312" w:cs="Arial Unicode MS"/>
          <w:color w:val="000000"/>
          <w:sz w:val="32"/>
          <w:szCs w:val="32"/>
          <w:lang w:eastAsia="zh-CN"/>
        </w:rPr>
        <w:t>昌江</w:t>
      </w:r>
      <w:r>
        <w:rPr>
          <w:rFonts w:hint="eastAsia" w:ascii="仿宋_GB2312" w:hAnsi="ˎ̥" w:eastAsia="仿宋_GB2312"/>
          <w:sz w:val="32"/>
          <w:szCs w:val="32"/>
        </w:rPr>
        <w:t>黎族自治县人民检察院设有</w:t>
      </w:r>
      <w:r>
        <w:rPr>
          <w:rFonts w:hint="eastAsia" w:ascii="仿宋_GB2312" w:hAnsi="Arial Unicode MS" w:eastAsia="仿宋_GB2312" w:cs="Arial Unicode MS"/>
          <w:color w:val="000000"/>
          <w:sz w:val="32"/>
          <w:szCs w:val="32"/>
          <w:lang w:val="en-US" w:eastAsia="zh-CN"/>
        </w:rPr>
        <w:t>5</w:t>
      </w:r>
      <w:r>
        <w:rPr>
          <w:rFonts w:hint="eastAsia" w:ascii="仿宋_GB2312" w:hAnsi="Arial Unicode MS" w:eastAsia="仿宋_GB2312" w:cs="Arial Unicode MS"/>
          <w:color w:val="000000"/>
          <w:sz w:val="32"/>
          <w:szCs w:val="32"/>
        </w:rPr>
        <w:t>个内设机构，包括综合管理部、第一检察部、第二检察部、第三检察部、第四检察部、派驻</w:t>
      </w:r>
      <w:r>
        <w:rPr>
          <w:rFonts w:hint="eastAsia" w:ascii="仿宋_GB2312" w:hAnsi="Arial Unicode MS" w:eastAsia="仿宋_GB2312" w:cs="Arial Unicode MS"/>
          <w:color w:val="000000"/>
          <w:sz w:val="32"/>
          <w:szCs w:val="32"/>
          <w:lang w:eastAsia="zh-CN"/>
        </w:rPr>
        <w:t>乌烈</w:t>
      </w:r>
      <w:r>
        <w:rPr>
          <w:rFonts w:hint="eastAsia" w:ascii="仿宋_GB2312" w:hAnsi="Arial Unicode MS" w:eastAsia="仿宋_GB2312" w:cs="Arial Unicode MS"/>
          <w:color w:val="000000"/>
          <w:sz w:val="32"/>
          <w:szCs w:val="32"/>
        </w:rPr>
        <w:t>检察室和派驻</w:t>
      </w:r>
      <w:r>
        <w:rPr>
          <w:rFonts w:hint="eastAsia" w:ascii="仿宋_GB2312" w:hAnsi="Arial Unicode MS" w:eastAsia="仿宋_GB2312" w:cs="Arial Unicode MS"/>
          <w:color w:val="000000"/>
          <w:sz w:val="32"/>
          <w:szCs w:val="32"/>
          <w:lang w:eastAsia="zh-CN"/>
        </w:rPr>
        <w:t>叉河</w:t>
      </w:r>
      <w:r>
        <w:rPr>
          <w:rFonts w:hint="eastAsia" w:ascii="仿宋_GB2312" w:hAnsi="Arial Unicode MS" w:eastAsia="仿宋_GB2312" w:cs="Arial Unicode MS"/>
          <w:color w:val="000000"/>
          <w:sz w:val="32"/>
          <w:szCs w:val="32"/>
        </w:rPr>
        <w:t>检察室；政法干警编制</w:t>
      </w:r>
      <w:r>
        <w:rPr>
          <w:rFonts w:hint="eastAsia" w:ascii="仿宋_GB2312" w:hAnsi="Arial Unicode MS" w:eastAsia="仿宋_GB2312" w:cs="Arial Unicode MS"/>
          <w:color w:val="000000"/>
          <w:sz w:val="32"/>
          <w:szCs w:val="32"/>
          <w:lang w:val="en-US" w:eastAsia="zh-CN"/>
        </w:rPr>
        <w:t>44</w:t>
      </w:r>
      <w:r>
        <w:rPr>
          <w:rFonts w:hint="eastAsia" w:ascii="仿宋_GB2312" w:hAnsi="Arial Unicode MS" w:eastAsia="仿宋_GB2312" w:cs="Arial Unicode MS"/>
          <w:color w:val="000000"/>
          <w:sz w:val="32"/>
          <w:szCs w:val="32"/>
        </w:rPr>
        <w:t>人，</w:t>
      </w:r>
      <w:r>
        <w:rPr>
          <w:rFonts w:hint="eastAsia" w:ascii="仿宋_GB2312" w:hAnsi="Arial Unicode MS" w:eastAsia="仿宋_GB2312" w:cs="Arial Unicode MS"/>
          <w:sz w:val="32"/>
          <w:szCs w:val="32"/>
        </w:rPr>
        <w:t>在职人员共</w:t>
      </w:r>
      <w:r>
        <w:rPr>
          <w:rFonts w:hint="eastAsia" w:ascii="仿宋_GB2312" w:hAnsi="Arial Unicode MS" w:eastAsia="仿宋_GB2312" w:cs="Arial Unicode MS"/>
          <w:sz w:val="32"/>
          <w:szCs w:val="32"/>
          <w:lang w:val="en-US" w:eastAsia="zh-CN"/>
        </w:rPr>
        <w:t>39</w:t>
      </w:r>
      <w:r>
        <w:rPr>
          <w:rFonts w:hint="eastAsia" w:ascii="仿宋_GB2312" w:hAnsi="Arial Unicode MS" w:eastAsia="仿宋_GB2312" w:cs="Arial Unicode MS"/>
          <w:color w:val="000000"/>
          <w:sz w:val="32"/>
          <w:szCs w:val="32"/>
        </w:rPr>
        <w:t>人。</w:t>
      </w:r>
    </w:p>
    <w:p>
      <w:pPr>
        <w:spacing w:line="560" w:lineRule="exact"/>
        <w:ind w:firstLine="640" w:firstLineChars="200"/>
        <w:rPr>
          <w:rFonts w:hint="eastAsia" w:ascii="仿宋" w:hAnsi="仿宋" w:eastAsia="仿宋" w:cs="Times New Roman"/>
          <w:kern w:val="0"/>
          <w:sz w:val="32"/>
          <w:szCs w:val="32"/>
          <w:lang w:val="en-US" w:eastAsia="zh-CN"/>
        </w:rPr>
      </w:pPr>
      <w:bookmarkStart w:id="13" w:name="_Toc25738_WPSOffice_Level2"/>
      <w:bookmarkStart w:id="14" w:name="_Toc24421_WPSOffice_Level2"/>
      <w:r>
        <w:rPr>
          <w:rFonts w:hint="eastAsia" w:ascii="仿宋_GB2312" w:hAnsi="ˎ̥" w:eastAsia="仿宋_GB2312"/>
          <w:sz w:val="32"/>
          <w:szCs w:val="32"/>
        </w:rPr>
        <w:t>现</w:t>
      </w:r>
      <w:r>
        <w:rPr>
          <w:rFonts w:hint="eastAsia" w:ascii="仿宋" w:hAnsi="仿宋" w:eastAsia="仿宋" w:cs="Times New Roman"/>
          <w:kern w:val="0"/>
          <w:sz w:val="32"/>
          <w:szCs w:val="32"/>
          <w:lang w:val="zh-CN"/>
        </w:rPr>
        <w:t>昌江黎族自治县人民检察院</w:t>
      </w:r>
      <w:r>
        <w:rPr>
          <w:rFonts w:hint="eastAsia" w:ascii="仿宋" w:hAnsi="仿宋" w:eastAsia="仿宋" w:cs="Times New Roman"/>
          <w:kern w:val="0"/>
          <w:sz w:val="32"/>
          <w:szCs w:val="32"/>
          <w:lang w:val="en-US" w:eastAsia="zh-CN"/>
        </w:rPr>
        <w:t>2019年部门预算编制范围只有部门本级1家预算单位。</w:t>
      </w:r>
    </w:p>
    <w:p>
      <w:pPr>
        <w:shd w:val="clear" w:color="auto" w:fill="FFFFFF"/>
        <w:ind w:firstLine="640" w:firstLineChars="200"/>
        <w:rPr>
          <w:rFonts w:hint="eastAsia" w:ascii="仿宋_GB2312" w:hAnsi="ˎ̥" w:eastAsia="仿宋_GB2312"/>
          <w:sz w:val="32"/>
          <w:szCs w:val="32"/>
        </w:rPr>
      </w:pPr>
    </w:p>
    <w:bookmarkEnd w:id="13"/>
    <w:bookmarkEnd w:id="14"/>
    <w:p>
      <w:pPr>
        <w:jc w:val="both"/>
        <w:rPr>
          <w:rFonts w:hint="eastAsia" w:ascii="黑体" w:hAnsi="ˎ̥" w:eastAsia="黑体"/>
          <w:sz w:val="32"/>
          <w:szCs w:val="32"/>
        </w:rPr>
      </w:pPr>
      <w:bookmarkStart w:id="15" w:name="_Toc8164_WPSOffice_Level1"/>
      <w:bookmarkStart w:id="16" w:name="_Toc30690_WPSOffice_Level1"/>
      <w:bookmarkStart w:id="17" w:name="_Toc6234_WPSOffice_Level1"/>
      <w:bookmarkStart w:id="18" w:name="_Toc15521_WPSOffice_Level1"/>
      <w:bookmarkStart w:id="19" w:name="_Toc30451_WPSOffice_Level1"/>
      <w:bookmarkStart w:id="20" w:name="_Toc28253_WPSOffice_Level1"/>
      <w:bookmarkStart w:id="21" w:name="_Toc6211_WPSOffice_Level2"/>
      <w:bookmarkStart w:id="22" w:name="_Toc32695_WPSOffice_Level2"/>
      <w:bookmarkStart w:id="23" w:name="_Toc8867_WPSOffice_Level2"/>
      <w:bookmarkStart w:id="24" w:name="_Toc32472_WPSOffice_Level2"/>
      <w:bookmarkStart w:id="25" w:name="_Toc4029_WPSOffice_Level2"/>
      <w:bookmarkStart w:id="26" w:name="_Toc11518_WPSOffice_Level2"/>
      <w:r>
        <w:rPr>
          <w:rFonts w:hint="eastAsia" w:ascii="黑体" w:hAnsi="ˎ̥" w:eastAsia="黑体"/>
          <w:sz w:val="32"/>
          <w:szCs w:val="32"/>
        </w:rPr>
        <w:t xml:space="preserve">第二部分  </w:t>
      </w:r>
      <w:r>
        <w:rPr>
          <w:rFonts w:hint="eastAsia" w:ascii="黑体" w:hAnsi="ˎ̥" w:eastAsia="黑体"/>
          <w:sz w:val="32"/>
          <w:szCs w:val="32"/>
          <w:lang w:eastAsia="zh-CN"/>
        </w:rPr>
        <w:t>昌江</w:t>
      </w:r>
      <w:r>
        <w:rPr>
          <w:rFonts w:hint="eastAsia" w:ascii="黑体" w:hAnsi="ˎ̥" w:eastAsia="黑体"/>
          <w:sz w:val="32"/>
          <w:szCs w:val="32"/>
        </w:rPr>
        <w:t>黎族苗族自治县人民检察院2019年度部门决算公开报表</w:t>
      </w:r>
      <w:bookmarkEnd w:id="15"/>
      <w:bookmarkEnd w:id="16"/>
      <w:bookmarkEnd w:id="17"/>
      <w:bookmarkEnd w:id="18"/>
      <w:bookmarkEnd w:id="19"/>
      <w:bookmarkEnd w:id="20"/>
    </w:p>
    <w:p>
      <w:pPr>
        <w:jc w:val="center"/>
        <w:rPr>
          <w:rFonts w:hint="eastAsia" w:ascii="黑体" w:hAnsi="ˎ̥" w:eastAsia="黑体"/>
          <w:sz w:val="32"/>
          <w:szCs w:val="32"/>
        </w:rPr>
      </w:pPr>
    </w:p>
    <w:bookmarkEnd w:id="21"/>
    <w:bookmarkEnd w:id="22"/>
    <w:bookmarkEnd w:id="23"/>
    <w:bookmarkEnd w:id="24"/>
    <w:bookmarkEnd w:id="25"/>
    <w:bookmarkEnd w:id="26"/>
    <w:p>
      <w:pPr>
        <w:ind w:firstLine="645"/>
        <w:rPr>
          <w:rFonts w:hint="eastAsia" w:ascii="黑体" w:hAnsi="黑体" w:eastAsia="黑体" w:cs="黑体"/>
          <w:sz w:val="32"/>
          <w:szCs w:val="32"/>
        </w:rPr>
      </w:pPr>
      <w:r>
        <w:rPr>
          <w:rFonts w:hint="eastAsia" w:ascii="黑体" w:hAnsi="黑体" w:eastAsia="黑体" w:cs="黑体"/>
          <w:sz w:val="32"/>
          <w:szCs w:val="32"/>
        </w:rPr>
        <w:t>一、收入支出决算批复表（见正文附件）。</w:t>
      </w:r>
    </w:p>
    <w:p>
      <w:pPr>
        <w:ind w:firstLine="645"/>
        <w:rPr>
          <w:rFonts w:hint="eastAsia" w:ascii="黑体" w:hAnsi="黑体" w:eastAsia="黑体" w:cs="黑体"/>
          <w:sz w:val="32"/>
          <w:szCs w:val="32"/>
        </w:rPr>
      </w:pPr>
      <w:bookmarkStart w:id="27" w:name="_Toc23139_WPSOffice_Level2"/>
      <w:bookmarkStart w:id="28" w:name="_Toc25608_WPSOffice_Level2"/>
      <w:bookmarkStart w:id="29" w:name="_Toc26621_WPSOffice_Level2"/>
      <w:bookmarkStart w:id="30" w:name="_Toc30334_WPSOffice_Level2"/>
      <w:bookmarkStart w:id="31" w:name="_Toc14349_WPSOffice_Level2"/>
      <w:bookmarkStart w:id="32" w:name="_Toc28622_WPSOffice_Level2"/>
      <w:r>
        <w:rPr>
          <w:rFonts w:hint="eastAsia" w:ascii="黑体" w:hAnsi="黑体" w:eastAsia="黑体" w:cs="黑体"/>
          <w:sz w:val="32"/>
          <w:szCs w:val="32"/>
        </w:rPr>
        <w:t>二、收入决算批复表（见正文附件）</w:t>
      </w:r>
      <w:bookmarkEnd w:id="27"/>
      <w:bookmarkEnd w:id="28"/>
      <w:bookmarkEnd w:id="29"/>
      <w:r>
        <w:rPr>
          <w:rFonts w:hint="eastAsia" w:ascii="黑体" w:hAnsi="黑体" w:eastAsia="黑体" w:cs="黑体"/>
          <w:sz w:val="32"/>
          <w:szCs w:val="32"/>
        </w:rPr>
        <w:t>。</w:t>
      </w:r>
      <w:bookmarkEnd w:id="30"/>
      <w:bookmarkEnd w:id="31"/>
      <w:bookmarkEnd w:id="32"/>
    </w:p>
    <w:p>
      <w:pPr>
        <w:ind w:firstLine="645"/>
        <w:rPr>
          <w:rFonts w:hint="eastAsia" w:ascii="黑体" w:hAnsi="黑体" w:eastAsia="黑体" w:cs="黑体"/>
          <w:sz w:val="32"/>
          <w:szCs w:val="32"/>
        </w:rPr>
      </w:pPr>
      <w:bookmarkStart w:id="33" w:name="_Toc3262_WPSOffice_Level2"/>
      <w:bookmarkStart w:id="34" w:name="_Toc17626_WPSOffice_Level2"/>
      <w:bookmarkStart w:id="35" w:name="_Toc17858_WPSOffice_Level2"/>
      <w:bookmarkStart w:id="36" w:name="_Toc13854_WPSOffice_Level2"/>
      <w:bookmarkStart w:id="37" w:name="_Toc14658_WPSOffice_Level2"/>
      <w:bookmarkStart w:id="38" w:name="_Toc5489_WPSOffice_Level2"/>
      <w:r>
        <w:rPr>
          <w:rFonts w:hint="eastAsia" w:ascii="黑体" w:hAnsi="黑体" w:eastAsia="黑体" w:cs="黑体"/>
          <w:sz w:val="32"/>
          <w:szCs w:val="32"/>
        </w:rPr>
        <w:t>三、支出决算批复表（见正文附件）</w:t>
      </w:r>
      <w:bookmarkEnd w:id="33"/>
      <w:bookmarkEnd w:id="34"/>
      <w:bookmarkEnd w:id="35"/>
      <w:r>
        <w:rPr>
          <w:rFonts w:hint="eastAsia" w:ascii="黑体" w:hAnsi="黑体" w:eastAsia="黑体" w:cs="黑体"/>
          <w:sz w:val="32"/>
          <w:szCs w:val="32"/>
        </w:rPr>
        <w:t>。</w:t>
      </w:r>
      <w:bookmarkEnd w:id="36"/>
      <w:bookmarkEnd w:id="37"/>
      <w:bookmarkEnd w:id="38"/>
    </w:p>
    <w:p>
      <w:pPr>
        <w:ind w:firstLine="645"/>
        <w:rPr>
          <w:rFonts w:hint="eastAsia" w:ascii="黑体" w:hAnsi="黑体" w:eastAsia="黑体" w:cs="黑体"/>
          <w:sz w:val="32"/>
          <w:szCs w:val="32"/>
        </w:rPr>
      </w:pPr>
      <w:bookmarkStart w:id="39" w:name="_Toc23591_WPSOffice_Level2"/>
      <w:bookmarkStart w:id="40" w:name="_Toc13701_WPSOffice_Level2"/>
      <w:bookmarkStart w:id="41" w:name="_Toc21415_WPSOffice_Level2"/>
      <w:bookmarkStart w:id="42" w:name="_Toc7988_WPSOffice_Level2"/>
      <w:bookmarkStart w:id="43" w:name="_Toc4265_WPSOffice_Level2"/>
      <w:bookmarkStart w:id="44" w:name="_Toc23493_WPSOffice_Level2"/>
      <w:r>
        <w:rPr>
          <w:rFonts w:hint="eastAsia" w:ascii="黑体" w:hAnsi="黑体" w:eastAsia="黑体" w:cs="黑体"/>
          <w:sz w:val="32"/>
          <w:szCs w:val="32"/>
        </w:rPr>
        <w:t>四、财政拨款收入支出决算批复表（见正文附件）</w:t>
      </w:r>
      <w:bookmarkEnd w:id="39"/>
      <w:bookmarkEnd w:id="40"/>
      <w:bookmarkEnd w:id="41"/>
      <w:r>
        <w:rPr>
          <w:rFonts w:hint="eastAsia" w:ascii="黑体" w:hAnsi="黑体" w:eastAsia="黑体" w:cs="黑体"/>
          <w:sz w:val="32"/>
          <w:szCs w:val="32"/>
        </w:rPr>
        <w:t>。</w:t>
      </w:r>
      <w:bookmarkEnd w:id="42"/>
      <w:bookmarkEnd w:id="43"/>
      <w:bookmarkEnd w:id="44"/>
    </w:p>
    <w:p>
      <w:pPr>
        <w:ind w:firstLine="645"/>
        <w:rPr>
          <w:rFonts w:hint="eastAsia" w:ascii="黑体" w:hAnsi="黑体" w:eastAsia="黑体" w:cs="黑体"/>
          <w:sz w:val="32"/>
          <w:szCs w:val="32"/>
        </w:rPr>
      </w:pPr>
      <w:bookmarkStart w:id="45" w:name="_Toc25166_WPSOffice_Level2"/>
      <w:bookmarkStart w:id="46" w:name="_Toc23829_WPSOffice_Level2"/>
      <w:bookmarkStart w:id="47" w:name="_Toc22783_WPSOffice_Level2"/>
      <w:bookmarkStart w:id="48" w:name="_Toc7879_WPSOffice_Level2"/>
      <w:bookmarkStart w:id="49" w:name="_Toc2158_WPSOffice_Level2"/>
      <w:bookmarkStart w:id="50" w:name="_Toc13516_WPSOffice_Level2"/>
      <w:r>
        <w:rPr>
          <w:rFonts w:hint="eastAsia" w:ascii="黑体" w:hAnsi="黑体" w:eastAsia="黑体" w:cs="黑体"/>
          <w:sz w:val="32"/>
          <w:szCs w:val="32"/>
        </w:rPr>
        <w:t>五、一般公共预算财政拨款收入支出决算批复表</w:t>
      </w:r>
      <w:bookmarkEnd w:id="45"/>
      <w:bookmarkEnd w:id="46"/>
      <w:bookmarkEnd w:id="47"/>
      <w:bookmarkEnd w:id="48"/>
    </w:p>
    <w:p>
      <w:pPr>
        <w:ind w:firstLine="1302" w:firstLineChars="407"/>
        <w:rPr>
          <w:rFonts w:hint="eastAsia" w:ascii="黑体" w:hAnsi="黑体" w:eastAsia="黑体" w:cs="黑体"/>
          <w:sz w:val="32"/>
          <w:szCs w:val="32"/>
        </w:rPr>
      </w:pPr>
      <w:r>
        <w:rPr>
          <w:rFonts w:hint="eastAsia" w:ascii="黑体" w:hAnsi="黑体" w:eastAsia="黑体" w:cs="黑体"/>
          <w:sz w:val="32"/>
          <w:szCs w:val="32"/>
        </w:rPr>
        <w:t>（见正文附件）</w:t>
      </w:r>
      <w:bookmarkEnd w:id="49"/>
      <w:bookmarkEnd w:id="50"/>
      <w:r>
        <w:rPr>
          <w:rFonts w:hint="eastAsia" w:ascii="黑体" w:hAnsi="黑体" w:eastAsia="黑体" w:cs="黑体"/>
          <w:sz w:val="32"/>
          <w:szCs w:val="32"/>
        </w:rPr>
        <w:t>。</w:t>
      </w:r>
    </w:p>
    <w:p>
      <w:pPr>
        <w:ind w:firstLine="645"/>
        <w:rPr>
          <w:rFonts w:hint="eastAsia" w:ascii="黑体" w:hAnsi="黑体" w:eastAsia="黑体" w:cs="黑体"/>
          <w:sz w:val="32"/>
          <w:szCs w:val="32"/>
        </w:rPr>
      </w:pPr>
      <w:bookmarkStart w:id="51" w:name="_Toc5343_WPSOffice_Level2"/>
      <w:bookmarkStart w:id="52" w:name="_Toc8373_WPSOffice_Level2"/>
      <w:bookmarkStart w:id="53" w:name="_Toc17833_WPSOffice_Level2"/>
      <w:bookmarkStart w:id="54" w:name="_Toc2632_WPSOffice_Level2"/>
      <w:bookmarkStart w:id="55" w:name="_Toc25362_WPSOffice_Level2"/>
      <w:bookmarkStart w:id="56" w:name="_Toc17283_WPSOffice_Level2"/>
      <w:r>
        <w:rPr>
          <w:rFonts w:hint="eastAsia" w:ascii="黑体" w:hAnsi="黑体" w:eastAsia="黑体" w:cs="黑体"/>
          <w:sz w:val="32"/>
          <w:szCs w:val="32"/>
        </w:rPr>
        <w:t>六、一般公共预算财政拨款基本支出决算批复表</w:t>
      </w:r>
      <w:bookmarkEnd w:id="51"/>
      <w:bookmarkEnd w:id="52"/>
      <w:bookmarkEnd w:id="53"/>
      <w:bookmarkEnd w:id="54"/>
      <w:bookmarkEnd w:id="55"/>
      <w:bookmarkEnd w:id="56"/>
    </w:p>
    <w:p>
      <w:pPr>
        <w:ind w:firstLine="1280" w:firstLineChars="40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bookmarkStart w:id="57" w:name="_Toc11799_WPSOffice_Level2"/>
      <w:bookmarkStart w:id="58" w:name="_Toc13345_WPSOffice_Level2"/>
      <w:bookmarkStart w:id="59" w:name="_Toc5594_WPSOffice_Level2"/>
      <w:bookmarkStart w:id="60" w:name="_Toc1533_WPSOffice_Level2"/>
      <w:bookmarkStart w:id="61" w:name="_Toc6020_WPSOffice_Level2"/>
      <w:bookmarkStart w:id="62" w:name="_Toc21310_WPSOffice_Level2"/>
      <w:r>
        <w:rPr>
          <w:rFonts w:hint="eastAsia" w:ascii="黑体" w:hAnsi="黑体" w:eastAsia="黑体" w:cs="黑体"/>
          <w:sz w:val="32"/>
          <w:szCs w:val="32"/>
        </w:rPr>
        <w:t>七、政府性基金预算财政拨款收入支出决算批复表</w:t>
      </w:r>
      <w:bookmarkEnd w:id="57"/>
      <w:bookmarkEnd w:id="58"/>
      <w:bookmarkEnd w:id="59"/>
      <w:bookmarkEnd w:id="60"/>
      <w:bookmarkEnd w:id="61"/>
      <w:bookmarkEnd w:id="62"/>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rPr>
          <w:rFonts w:hint="eastAsia" w:ascii="黑体" w:hAnsi="黑体" w:eastAsia="黑体" w:cs="黑体"/>
          <w:sz w:val="32"/>
          <w:szCs w:val="32"/>
        </w:rPr>
      </w:pPr>
      <w:bookmarkStart w:id="63" w:name="_Toc9377_WPSOffice_Level2"/>
      <w:bookmarkStart w:id="64" w:name="_Toc29886_WPSOffice_Level2"/>
      <w:bookmarkStart w:id="65" w:name="_Toc19961_WPSOffice_Level2"/>
      <w:bookmarkStart w:id="66" w:name="_Toc1820_WPSOffice_Level2"/>
      <w:r>
        <w:rPr>
          <w:rFonts w:hint="eastAsia" w:ascii="黑体" w:hAnsi="黑体" w:eastAsia="黑体" w:cs="黑体"/>
          <w:sz w:val="32"/>
          <w:szCs w:val="32"/>
        </w:rPr>
        <w:t xml:space="preserve">    八、一般公共预算财政拨款“三公”经费支出决算</w:t>
      </w:r>
    </w:p>
    <w:p>
      <w:pPr>
        <w:rPr>
          <w:rFonts w:hint="eastAsia" w:ascii="黑体" w:hAnsi="黑体" w:eastAsia="黑体" w:cs="黑体"/>
          <w:sz w:val="32"/>
          <w:szCs w:val="32"/>
        </w:rPr>
      </w:pPr>
      <w:r>
        <w:rPr>
          <w:rFonts w:hint="eastAsia" w:ascii="黑体" w:hAnsi="黑体" w:eastAsia="黑体" w:cs="黑体"/>
          <w:sz w:val="32"/>
          <w:szCs w:val="32"/>
        </w:rPr>
        <w:t xml:space="preserve">         批复表</w:t>
      </w:r>
      <w:bookmarkEnd w:id="63"/>
      <w:bookmarkEnd w:id="64"/>
      <w:bookmarkEnd w:id="65"/>
      <w:bookmarkEnd w:id="66"/>
      <w:r>
        <w:rPr>
          <w:rFonts w:hint="eastAsia" w:ascii="黑体" w:hAnsi="黑体" w:eastAsia="黑体" w:cs="黑体"/>
          <w:sz w:val="32"/>
          <w:szCs w:val="32"/>
        </w:rPr>
        <w:t>（见正文附件）。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九、政府性基金预算财政拨款“三公”经费支出决算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批复表</w:t>
      </w:r>
      <w:r>
        <w:rPr>
          <w:rFonts w:hint="eastAsia" w:ascii="黑体" w:hAnsi="黑体" w:eastAsia="黑体" w:cs="黑体"/>
          <w:sz w:val="32"/>
          <w:szCs w:val="32"/>
        </w:rPr>
        <w:t>（见正文附件）。</w:t>
      </w:r>
    </w:p>
    <w:p>
      <w:pPr>
        <w:ind w:firstLine="640" w:firstLineChars="200"/>
        <w:rPr>
          <w:rFonts w:hint="eastAsia" w:ascii="楷体" w:hAnsi="楷体" w:eastAsia="楷体" w:cs="楷体"/>
          <w:sz w:val="32"/>
          <w:szCs w:val="32"/>
        </w:rPr>
      </w:pPr>
    </w:p>
    <w:p>
      <w:pPr>
        <w:jc w:val="both"/>
        <w:rPr>
          <w:rFonts w:hint="eastAsia" w:ascii="黑体" w:hAnsi="ˎ̥" w:eastAsia="黑体"/>
          <w:sz w:val="32"/>
          <w:szCs w:val="32"/>
        </w:rPr>
      </w:pPr>
      <w:bookmarkStart w:id="67" w:name="_Toc29683_WPSOffice_Level1"/>
      <w:bookmarkStart w:id="68" w:name="_Toc28629_WPSOffice_Level1"/>
      <w:bookmarkStart w:id="69" w:name="_Toc16686_WPSOffice_Level1"/>
      <w:bookmarkStart w:id="70" w:name="_Toc4402_WPSOffice_Level1"/>
      <w:bookmarkStart w:id="71" w:name="_Toc31264_WPSOffice_Level1"/>
      <w:bookmarkStart w:id="72" w:name="_Toc27590_WPSOffice_Level1"/>
      <w:r>
        <w:rPr>
          <w:rFonts w:hint="eastAsia" w:ascii="黑体" w:hAnsi="ˎ̥" w:eastAsia="黑体"/>
          <w:sz w:val="32"/>
          <w:szCs w:val="32"/>
        </w:rPr>
        <w:t xml:space="preserve">第三部分  </w:t>
      </w:r>
      <w:r>
        <w:rPr>
          <w:rFonts w:hint="eastAsia" w:ascii="黑体" w:hAnsi="ˎ̥" w:eastAsia="黑体"/>
          <w:sz w:val="32"/>
          <w:szCs w:val="32"/>
          <w:lang w:eastAsia="zh-CN"/>
        </w:rPr>
        <w:t>昌江</w:t>
      </w:r>
      <w:r>
        <w:rPr>
          <w:rFonts w:hint="eastAsia" w:ascii="黑体" w:hAnsi="ˎ̥" w:eastAsia="黑体"/>
          <w:sz w:val="32"/>
          <w:szCs w:val="32"/>
        </w:rPr>
        <w:t>黎族自治县人民检察院2019年度部门决算情况说明</w:t>
      </w:r>
      <w:bookmarkEnd w:id="67"/>
      <w:bookmarkEnd w:id="68"/>
      <w:bookmarkEnd w:id="69"/>
      <w:bookmarkEnd w:id="70"/>
      <w:bookmarkEnd w:id="71"/>
      <w:bookmarkEnd w:id="72"/>
    </w:p>
    <w:p>
      <w:pPr>
        <w:jc w:val="center"/>
        <w:rPr>
          <w:rFonts w:hint="eastAsia" w:ascii="黑体" w:hAnsi="ˎ̥" w:eastAsia="黑体"/>
          <w:sz w:val="32"/>
          <w:szCs w:val="32"/>
        </w:rPr>
      </w:pPr>
    </w:p>
    <w:p>
      <w:pPr>
        <w:numPr>
          <w:ilvl w:val="0"/>
          <w:numId w:val="1"/>
        </w:numPr>
        <w:ind w:firstLine="640" w:firstLineChars="200"/>
        <w:rPr>
          <w:rFonts w:hint="eastAsia" w:ascii="仿宋" w:hAnsi="仿宋" w:eastAsia="仿宋" w:cs="Times New Roman"/>
          <w:kern w:val="0"/>
          <w:sz w:val="32"/>
          <w:szCs w:val="32"/>
          <w:lang w:val="zh-CN" w:eastAsia="zh-CN"/>
        </w:rPr>
      </w:pPr>
      <w:r>
        <w:rPr>
          <w:rFonts w:hint="eastAsia" w:ascii="黑体" w:hAnsi="黑体" w:eastAsia="黑体" w:cs="黑体"/>
          <w:bCs/>
          <w:sz w:val="32"/>
          <w:szCs w:val="32"/>
        </w:rPr>
        <w:t>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2019年度本院收、支总计</w:t>
      </w:r>
      <w:r>
        <w:rPr>
          <w:rFonts w:hint="eastAsia" w:ascii="仿宋_GB2312" w:hAnsi="ˎ̥" w:eastAsia="仿宋_GB2312"/>
          <w:sz w:val="32"/>
          <w:szCs w:val="32"/>
          <w:lang w:val="en-US" w:eastAsia="zh-CN"/>
        </w:rPr>
        <w:t>2834.24</w:t>
      </w:r>
      <w:r>
        <w:rPr>
          <w:rFonts w:hint="eastAsia" w:ascii="仿宋_GB2312" w:hAnsi="ˎ̥" w:eastAsia="仿宋_GB2312"/>
          <w:sz w:val="32"/>
          <w:szCs w:val="32"/>
        </w:rPr>
        <w:t>万元，与2018年度相比，收入、支出总计增加</w:t>
      </w:r>
      <w:r>
        <w:rPr>
          <w:rFonts w:hint="eastAsia" w:ascii="仿宋_GB2312" w:hAnsi="ˎ̥" w:eastAsia="仿宋_GB2312"/>
          <w:sz w:val="32"/>
          <w:szCs w:val="32"/>
          <w:lang w:val="en-US" w:eastAsia="zh-CN"/>
        </w:rPr>
        <w:t>375.59</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15.28</w:t>
      </w:r>
      <w:r>
        <w:rPr>
          <w:rFonts w:hint="eastAsia" w:ascii="仿宋_GB2312" w:hAnsi="ˎ̥" w:eastAsia="仿宋_GB2312"/>
          <w:sz w:val="32"/>
          <w:szCs w:val="32"/>
        </w:rPr>
        <w:t>%。主要原因：一是</w:t>
      </w:r>
      <w:r>
        <w:rPr>
          <w:rFonts w:hint="eastAsia" w:ascii="仿宋_GB2312" w:hAnsi="ˎ̥" w:eastAsia="仿宋_GB2312"/>
          <w:sz w:val="32"/>
          <w:szCs w:val="32"/>
          <w:lang w:val="en-US" w:eastAsia="zh-CN"/>
        </w:rPr>
        <w:t>2019年度推进了我院安防监控设备、12309检察服务中心和案管服务大厅综合配套及信息化建设等项目</w:t>
      </w:r>
      <w:r>
        <w:rPr>
          <w:rFonts w:hint="eastAsia" w:ascii="仿宋_GB2312" w:hAnsi="ˎ̥" w:eastAsia="仿宋_GB2312"/>
          <w:sz w:val="32"/>
          <w:szCs w:val="32"/>
        </w:rPr>
        <w:t>；二是人员正常晋升、职务晋升等工资经费增加。年初结转和结余</w:t>
      </w:r>
      <w:r>
        <w:rPr>
          <w:rFonts w:hint="eastAsia" w:ascii="仿宋_GB2312" w:hAnsi="ˎ̥" w:eastAsia="仿宋_GB2312"/>
          <w:sz w:val="32"/>
          <w:szCs w:val="32"/>
          <w:lang w:val="en-US" w:eastAsia="zh-CN"/>
        </w:rPr>
        <w:t>563.51</w:t>
      </w:r>
      <w:r>
        <w:rPr>
          <w:rFonts w:hint="eastAsia" w:ascii="仿宋_GB2312" w:hAnsi="ˎ̥" w:eastAsia="仿宋_GB2312"/>
          <w:sz w:val="32"/>
          <w:szCs w:val="32"/>
        </w:rPr>
        <w:t>万元，较2018年度决算数减少</w:t>
      </w:r>
      <w:r>
        <w:rPr>
          <w:rFonts w:hint="eastAsia" w:ascii="仿宋_GB2312" w:hAnsi="ˎ̥" w:eastAsia="仿宋_GB2312"/>
          <w:sz w:val="32"/>
          <w:szCs w:val="32"/>
          <w:lang w:val="en-US" w:eastAsia="zh-CN"/>
        </w:rPr>
        <w:t>12.13</w:t>
      </w:r>
      <w:r>
        <w:rPr>
          <w:rFonts w:hint="eastAsia" w:ascii="仿宋_GB2312" w:hAnsi="ˎ̥" w:eastAsia="仿宋_GB2312"/>
          <w:sz w:val="32"/>
          <w:szCs w:val="32"/>
        </w:rPr>
        <w:t>万元，下降</w:t>
      </w:r>
      <w:r>
        <w:rPr>
          <w:rFonts w:hint="eastAsia" w:ascii="仿宋_GB2312" w:hAnsi="ˎ̥" w:eastAsia="仿宋_GB2312"/>
          <w:sz w:val="32"/>
          <w:szCs w:val="32"/>
          <w:lang w:val="en-US" w:eastAsia="zh-CN"/>
        </w:rPr>
        <w:t>2.1</w:t>
      </w:r>
      <w:r>
        <w:rPr>
          <w:rFonts w:hint="eastAsia" w:ascii="仿宋_GB2312" w:hAnsi="ˎ̥" w:eastAsia="仿宋_GB2312"/>
          <w:sz w:val="32"/>
          <w:szCs w:val="32"/>
        </w:rPr>
        <w:t>%，主要原因是合理预算，提高资金使用效率。年末结转结余</w:t>
      </w:r>
      <w:r>
        <w:rPr>
          <w:rFonts w:hint="eastAsia" w:ascii="仿宋_GB2312" w:hAnsi="ˎ̥" w:eastAsia="仿宋_GB2312"/>
          <w:sz w:val="32"/>
          <w:szCs w:val="32"/>
          <w:lang w:val="en-US" w:eastAsia="zh-CN"/>
        </w:rPr>
        <w:t>696.31</w:t>
      </w:r>
      <w:r>
        <w:rPr>
          <w:rFonts w:hint="eastAsia" w:ascii="仿宋_GB2312" w:hAnsi="ˎ̥" w:eastAsia="仿宋_GB2312"/>
          <w:sz w:val="32"/>
          <w:szCs w:val="32"/>
        </w:rPr>
        <w:t>万元，</w:t>
      </w:r>
      <w:r>
        <w:rPr>
          <w:rFonts w:hint="default" w:ascii="仿宋" w:hAnsi="仿宋" w:eastAsia="仿宋" w:cs="Times New Roman"/>
          <w:kern w:val="0"/>
          <w:sz w:val="32"/>
          <w:szCs w:val="32"/>
          <w:lang w:val="zh-CN" w:eastAsia="zh-CN"/>
        </w:rPr>
        <w:t>主要是</w:t>
      </w:r>
      <w:r>
        <w:rPr>
          <w:rFonts w:hint="eastAsia" w:ascii="仿宋" w:hAnsi="仿宋" w:eastAsia="仿宋" w:cs="Times New Roman"/>
          <w:kern w:val="0"/>
          <w:sz w:val="32"/>
          <w:szCs w:val="32"/>
          <w:lang w:val="zh-CN" w:eastAsia="zh-CN"/>
        </w:rPr>
        <w:t>其他检察支出中项目支出结转结余</w:t>
      </w:r>
      <w:r>
        <w:rPr>
          <w:rFonts w:hint="default" w:ascii="仿宋" w:hAnsi="仿宋" w:eastAsia="仿宋" w:cs="Times New Roman"/>
          <w:kern w:val="0"/>
          <w:sz w:val="32"/>
          <w:szCs w:val="32"/>
          <w:lang w:val="zh-CN" w:eastAsia="zh-CN"/>
        </w:rPr>
        <w:t>，较201</w:t>
      </w:r>
      <w:r>
        <w:rPr>
          <w:rFonts w:hint="eastAsia" w:ascii="仿宋" w:hAnsi="仿宋" w:eastAsia="仿宋" w:cs="Times New Roman"/>
          <w:kern w:val="0"/>
          <w:sz w:val="32"/>
          <w:szCs w:val="32"/>
          <w:lang w:val="en-US" w:eastAsia="zh-CN"/>
        </w:rPr>
        <w:t>8</w:t>
      </w:r>
      <w:r>
        <w:rPr>
          <w:rFonts w:hint="default" w:ascii="仿宋" w:hAnsi="仿宋" w:eastAsia="仿宋" w:cs="Times New Roman"/>
          <w:kern w:val="0"/>
          <w:sz w:val="32"/>
          <w:szCs w:val="32"/>
          <w:lang w:val="zh-CN" w:eastAsia="zh-CN"/>
        </w:rPr>
        <w:t>年度决算数</w:t>
      </w:r>
      <w:r>
        <w:rPr>
          <w:rFonts w:hint="eastAsia" w:ascii="仿宋" w:hAnsi="仿宋" w:eastAsia="仿宋" w:cs="Times New Roman"/>
          <w:kern w:val="0"/>
          <w:sz w:val="32"/>
          <w:szCs w:val="32"/>
          <w:lang w:val="zh-CN" w:eastAsia="zh-CN"/>
        </w:rPr>
        <w:t>增加</w:t>
      </w:r>
      <w:r>
        <w:rPr>
          <w:rFonts w:hint="eastAsia" w:ascii="仿宋" w:hAnsi="仿宋" w:eastAsia="仿宋" w:cs="Times New Roman"/>
          <w:kern w:val="0"/>
          <w:sz w:val="32"/>
          <w:szCs w:val="32"/>
          <w:lang w:val="en-US" w:eastAsia="zh-CN"/>
        </w:rPr>
        <w:t>135.61</w:t>
      </w:r>
      <w:r>
        <w:rPr>
          <w:rFonts w:hint="default" w:ascii="仿宋" w:hAnsi="仿宋" w:eastAsia="仿宋" w:cs="Times New Roman"/>
          <w:kern w:val="0"/>
          <w:sz w:val="32"/>
          <w:szCs w:val="32"/>
          <w:lang w:val="zh-CN" w:eastAsia="zh-CN"/>
        </w:rPr>
        <w:t>万元，</w:t>
      </w:r>
      <w:r>
        <w:rPr>
          <w:rFonts w:hint="eastAsia" w:ascii="仿宋" w:hAnsi="仿宋" w:eastAsia="仿宋" w:cs="Times New Roman"/>
          <w:kern w:val="0"/>
          <w:sz w:val="32"/>
          <w:szCs w:val="32"/>
          <w:lang w:val="zh-CN" w:eastAsia="zh-CN"/>
        </w:rPr>
        <w:t>增长</w:t>
      </w:r>
      <w:r>
        <w:rPr>
          <w:rFonts w:hint="eastAsia" w:ascii="仿宋" w:hAnsi="仿宋" w:eastAsia="仿宋" w:cs="Times New Roman"/>
          <w:kern w:val="0"/>
          <w:sz w:val="32"/>
          <w:szCs w:val="32"/>
          <w:lang w:val="en-US" w:eastAsia="zh-CN"/>
        </w:rPr>
        <w:t>24.19</w:t>
      </w:r>
      <w:r>
        <w:rPr>
          <w:rFonts w:hint="default" w:ascii="仿宋" w:hAnsi="仿宋" w:eastAsia="仿宋" w:cs="Times New Roman"/>
          <w:kern w:val="0"/>
          <w:sz w:val="32"/>
          <w:szCs w:val="32"/>
          <w:lang w:val="zh-CN" w:eastAsia="zh-CN"/>
        </w:rPr>
        <w:t>%，主要原因是</w:t>
      </w:r>
      <w:r>
        <w:rPr>
          <w:rFonts w:hint="eastAsia" w:ascii="仿宋" w:hAnsi="仿宋" w:eastAsia="仿宋" w:cs="Times New Roman"/>
          <w:kern w:val="0"/>
          <w:sz w:val="32"/>
          <w:szCs w:val="32"/>
          <w:lang w:val="zh-CN" w:eastAsia="zh-CN"/>
        </w:rPr>
        <w:t>我院项目建设完工。</w:t>
      </w:r>
    </w:p>
    <w:p>
      <w:pPr>
        <w:spacing w:line="560" w:lineRule="exact"/>
        <w:rPr>
          <w:rFonts w:hint="default" w:ascii="仿宋" w:hAnsi="仿宋" w:eastAsia="仿宋" w:cs="Times New Roman"/>
          <w:kern w:val="0"/>
          <w:sz w:val="32"/>
          <w:szCs w:val="32"/>
          <w:lang w:val="zh-CN" w:eastAsia="zh-CN"/>
        </w:rPr>
      </w:pPr>
      <w:r>
        <w:rPr>
          <w:rFonts w:hint="eastAsia" w:ascii="仿宋" w:hAnsi="仿宋" w:eastAsia="仿宋" w:cs="Times New Roman"/>
          <w:kern w:val="0"/>
          <w:sz w:val="32"/>
          <w:szCs w:val="32"/>
          <w:lang w:val="en-US" w:eastAsia="zh-CN"/>
        </w:rPr>
        <w:t xml:space="preserve"> </w:t>
      </w: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2270.72</w:t>
      </w:r>
      <w:r>
        <w:rPr>
          <w:rFonts w:hint="eastAsia" w:ascii="仿宋_GB2312" w:hAnsi="ˎ̥" w:eastAsia="仿宋_GB2312"/>
          <w:sz w:val="32"/>
          <w:szCs w:val="32"/>
        </w:rPr>
        <w:t>万元，</w:t>
      </w:r>
      <w:r>
        <w:rPr>
          <w:rFonts w:hint="default" w:ascii="仿宋" w:hAnsi="仿宋" w:eastAsia="仿宋" w:cs="Times New Roman"/>
          <w:kern w:val="0"/>
          <w:sz w:val="32"/>
          <w:szCs w:val="32"/>
          <w:lang w:val="zh-CN" w:eastAsia="zh-CN"/>
        </w:rPr>
        <w:t>其中：财政拨款收入</w:t>
      </w:r>
      <w:r>
        <w:rPr>
          <w:rFonts w:hint="eastAsia" w:ascii="仿宋" w:hAnsi="仿宋" w:eastAsia="仿宋" w:cs="Times New Roman"/>
          <w:kern w:val="0"/>
          <w:sz w:val="32"/>
          <w:szCs w:val="32"/>
          <w:lang w:val="en-US" w:eastAsia="zh-CN"/>
        </w:rPr>
        <w:t>2007.3</w:t>
      </w:r>
      <w:r>
        <w:rPr>
          <w:rFonts w:hint="default" w:ascii="仿宋" w:hAnsi="仿宋" w:eastAsia="仿宋" w:cs="Times New Roman"/>
          <w:kern w:val="0"/>
          <w:sz w:val="32"/>
          <w:szCs w:val="32"/>
          <w:lang w:val="zh-CN" w:eastAsia="zh-CN"/>
        </w:rPr>
        <w:t>万元，占</w:t>
      </w:r>
      <w:r>
        <w:rPr>
          <w:rFonts w:hint="eastAsia" w:ascii="仿宋" w:hAnsi="仿宋" w:eastAsia="仿宋" w:cs="Times New Roman"/>
          <w:kern w:val="0"/>
          <w:sz w:val="32"/>
          <w:szCs w:val="32"/>
          <w:lang w:val="en-US" w:eastAsia="zh-CN"/>
        </w:rPr>
        <w:t>88.4</w:t>
      </w:r>
      <w:r>
        <w:rPr>
          <w:rFonts w:hint="default" w:ascii="仿宋" w:hAnsi="仿宋" w:eastAsia="仿宋" w:cs="Times New Roman"/>
          <w:kern w:val="0"/>
          <w:sz w:val="32"/>
          <w:szCs w:val="32"/>
          <w:lang w:val="zh-CN" w:eastAsia="zh-CN"/>
        </w:rPr>
        <w:t xml:space="preserve">%；上级补助收入0.00万元；事业收入0.00万元；经营收入0.00 </w:t>
      </w:r>
      <w:r>
        <w:rPr>
          <w:rFonts w:hint="eastAsia" w:ascii="仿宋" w:hAnsi="仿宋" w:eastAsia="仿宋" w:cs="Times New Roman"/>
          <w:kern w:val="0"/>
          <w:sz w:val="32"/>
          <w:szCs w:val="32"/>
          <w:lang w:val="zh-CN" w:eastAsia="zh-CN"/>
        </w:rPr>
        <w:t>万元</w:t>
      </w:r>
      <w:r>
        <w:rPr>
          <w:rFonts w:hint="default" w:ascii="仿宋" w:hAnsi="仿宋" w:eastAsia="仿宋" w:cs="Times New Roman"/>
          <w:kern w:val="0"/>
          <w:sz w:val="32"/>
          <w:szCs w:val="32"/>
          <w:lang w:val="zh-CN" w:eastAsia="zh-CN"/>
        </w:rPr>
        <w:t>；附属单位上缴收入0.00万元；其他收入</w:t>
      </w:r>
      <w:r>
        <w:rPr>
          <w:rFonts w:hint="eastAsia" w:ascii="仿宋" w:hAnsi="仿宋" w:eastAsia="仿宋" w:cs="Times New Roman"/>
          <w:kern w:val="0"/>
          <w:sz w:val="32"/>
          <w:szCs w:val="32"/>
          <w:lang w:val="en-US" w:eastAsia="zh-CN"/>
        </w:rPr>
        <w:t>263.42</w:t>
      </w:r>
      <w:r>
        <w:rPr>
          <w:rFonts w:hint="default" w:ascii="仿宋" w:hAnsi="仿宋" w:eastAsia="仿宋" w:cs="Times New Roman"/>
          <w:kern w:val="0"/>
          <w:sz w:val="32"/>
          <w:szCs w:val="32"/>
          <w:lang w:val="zh-CN" w:eastAsia="zh-CN"/>
        </w:rPr>
        <w:t>万元，占</w:t>
      </w:r>
      <w:r>
        <w:rPr>
          <w:rFonts w:hint="eastAsia" w:ascii="仿宋" w:hAnsi="仿宋" w:eastAsia="仿宋" w:cs="Times New Roman"/>
          <w:kern w:val="0"/>
          <w:sz w:val="32"/>
          <w:szCs w:val="32"/>
          <w:lang w:val="en-US" w:eastAsia="zh-CN"/>
        </w:rPr>
        <w:t>11.6</w:t>
      </w:r>
      <w:r>
        <w:rPr>
          <w:rFonts w:hint="default" w:ascii="仿宋" w:hAnsi="仿宋" w:eastAsia="仿宋" w:cs="Times New Roman"/>
          <w:kern w:val="0"/>
          <w:sz w:val="32"/>
          <w:szCs w:val="32"/>
          <w:lang w:val="zh-CN" w:eastAsia="zh-CN"/>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三、支出决算情况说明</w:t>
      </w:r>
    </w:p>
    <w:p>
      <w:pPr>
        <w:spacing w:line="560" w:lineRule="exact"/>
        <w:rPr>
          <w:rFonts w:hint="default" w:ascii="仿宋" w:hAnsi="仿宋" w:eastAsia="仿宋" w:cs="Times New Roman"/>
          <w:kern w:val="0"/>
          <w:sz w:val="32"/>
          <w:szCs w:val="32"/>
          <w:lang w:val="zh-CN" w:eastAsia="zh-CN"/>
        </w:rPr>
      </w:pPr>
      <w:r>
        <w:rPr>
          <w:rFonts w:hint="eastAsia" w:ascii="仿宋" w:hAnsi="仿宋" w:eastAsia="仿宋" w:cs="Times New Roman"/>
          <w:kern w:val="0"/>
          <w:sz w:val="32"/>
          <w:szCs w:val="32"/>
          <w:lang w:val="en-US" w:eastAsia="zh-CN"/>
        </w:rPr>
        <w:t xml:space="preserve">    </w:t>
      </w:r>
      <w:r>
        <w:rPr>
          <w:rFonts w:hint="default" w:ascii="仿宋" w:hAnsi="仿宋" w:eastAsia="仿宋" w:cs="Times New Roman"/>
          <w:kern w:val="0"/>
          <w:sz w:val="32"/>
          <w:szCs w:val="32"/>
          <w:lang w:val="zh-CN" w:eastAsia="zh-CN"/>
        </w:rPr>
        <w:t>本年支出合计</w:t>
      </w:r>
      <w:r>
        <w:rPr>
          <w:rFonts w:hint="eastAsia" w:ascii="仿宋" w:hAnsi="仿宋" w:eastAsia="仿宋" w:cs="Times New Roman"/>
          <w:kern w:val="0"/>
          <w:sz w:val="32"/>
          <w:szCs w:val="32"/>
          <w:lang w:val="en-US" w:eastAsia="zh-CN"/>
        </w:rPr>
        <w:t>2137.92</w:t>
      </w:r>
      <w:r>
        <w:rPr>
          <w:rFonts w:hint="default" w:ascii="仿宋" w:hAnsi="仿宋" w:eastAsia="仿宋" w:cs="Times New Roman"/>
          <w:kern w:val="0"/>
          <w:sz w:val="32"/>
          <w:szCs w:val="32"/>
          <w:lang w:val="zh-CN" w:eastAsia="zh-CN"/>
        </w:rPr>
        <w:t>万元，其中：基本支出</w:t>
      </w:r>
      <w:r>
        <w:rPr>
          <w:rFonts w:hint="eastAsia" w:ascii="仿宋" w:hAnsi="仿宋" w:eastAsia="仿宋" w:cs="Times New Roman"/>
          <w:kern w:val="0"/>
          <w:sz w:val="32"/>
          <w:szCs w:val="32"/>
          <w:lang w:val="en-US" w:eastAsia="zh-CN"/>
        </w:rPr>
        <w:t>1332.23</w:t>
      </w:r>
      <w:r>
        <w:rPr>
          <w:rFonts w:hint="default" w:ascii="仿宋" w:hAnsi="仿宋" w:eastAsia="仿宋" w:cs="Times New Roman"/>
          <w:kern w:val="0"/>
          <w:sz w:val="32"/>
          <w:szCs w:val="32"/>
          <w:lang w:val="zh-CN" w:eastAsia="zh-CN"/>
        </w:rPr>
        <w:t>万元，占</w:t>
      </w:r>
      <w:r>
        <w:rPr>
          <w:rFonts w:hint="eastAsia" w:ascii="仿宋" w:hAnsi="仿宋" w:eastAsia="仿宋" w:cs="Times New Roman"/>
          <w:kern w:val="0"/>
          <w:sz w:val="32"/>
          <w:szCs w:val="32"/>
          <w:lang w:val="en-US" w:eastAsia="zh-CN"/>
        </w:rPr>
        <w:t>62.31</w:t>
      </w:r>
      <w:r>
        <w:rPr>
          <w:rFonts w:hint="default" w:ascii="仿宋" w:hAnsi="仿宋" w:eastAsia="仿宋" w:cs="Times New Roman"/>
          <w:kern w:val="0"/>
          <w:sz w:val="32"/>
          <w:szCs w:val="32"/>
          <w:lang w:val="zh-CN" w:eastAsia="zh-CN"/>
        </w:rPr>
        <w:t>%；项目支出</w:t>
      </w:r>
      <w:r>
        <w:rPr>
          <w:rFonts w:hint="eastAsia" w:ascii="仿宋" w:hAnsi="仿宋" w:eastAsia="仿宋" w:cs="Times New Roman"/>
          <w:kern w:val="0"/>
          <w:sz w:val="32"/>
          <w:szCs w:val="32"/>
          <w:lang w:val="en-US" w:eastAsia="zh-CN"/>
        </w:rPr>
        <w:t>805.69</w:t>
      </w:r>
      <w:r>
        <w:rPr>
          <w:rFonts w:hint="default" w:ascii="仿宋" w:hAnsi="仿宋" w:eastAsia="仿宋" w:cs="Times New Roman"/>
          <w:kern w:val="0"/>
          <w:sz w:val="32"/>
          <w:szCs w:val="32"/>
          <w:lang w:val="zh-CN" w:eastAsia="zh-CN"/>
        </w:rPr>
        <w:t>万元，占</w:t>
      </w:r>
      <w:r>
        <w:rPr>
          <w:rFonts w:hint="eastAsia" w:ascii="仿宋" w:hAnsi="仿宋" w:eastAsia="仿宋" w:cs="Times New Roman"/>
          <w:kern w:val="0"/>
          <w:sz w:val="32"/>
          <w:szCs w:val="32"/>
          <w:lang w:val="en-US" w:eastAsia="zh-CN"/>
        </w:rPr>
        <w:t>37.69</w:t>
      </w:r>
      <w:r>
        <w:rPr>
          <w:rFonts w:hint="default" w:ascii="仿宋" w:hAnsi="仿宋" w:eastAsia="仿宋" w:cs="Times New Roman"/>
          <w:kern w:val="0"/>
          <w:sz w:val="32"/>
          <w:szCs w:val="32"/>
          <w:lang w:val="zh-CN" w:eastAsia="zh-CN"/>
        </w:rPr>
        <w:t>%；上缴上级支出0.00万元；经营支出0.00万元；对附属单位补助支出0.00万元。</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2019年度财政拨款收入、支出总计</w:t>
      </w:r>
      <w:r>
        <w:rPr>
          <w:rFonts w:hint="eastAsia" w:ascii="仿宋_GB2312" w:hAnsi="ˎ̥" w:eastAsia="仿宋_GB2312"/>
          <w:sz w:val="32"/>
          <w:szCs w:val="32"/>
          <w:lang w:val="en-US" w:eastAsia="zh-CN"/>
        </w:rPr>
        <w:t>2834.24</w:t>
      </w:r>
      <w:r>
        <w:rPr>
          <w:rFonts w:hint="eastAsia" w:ascii="仿宋_GB2312" w:hAnsi="ˎ̥" w:eastAsia="仿宋_GB2312"/>
          <w:sz w:val="32"/>
          <w:szCs w:val="32"/>
        </w:rPr>
        <w:t>万元。与2018年度相比，财政拨款收入、支出总计增加</w:t>
      </w:r>
      <w:r>
        <w:rPr>
          <w:rFonts w:hint="eastAsia" w:ascii="仿宋_GB2312" w:hAnsi="ˎ̥" w:eastAsia="仿宋_GB2312"/>
          <w:sz w:val="32"/>
          <w:szCs w:val="32"/>
          <w:lang w:val="en-US" w:eastAsia="zh-CN"/>
        </w:rPr>
        <w:t>375.6</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15.28</w:t>
      </w:r>
      <w:r>
        <w:rPr>
          <w:rFonts w:hint="eastAsia" w:ascii="仿宋_GB2312" w:hAnsi="ˎ̥" w:eastAsia="仿宋_GB2312"/>
          <w:sz w:val="32"/>
          <w:szCs w:val="32"/>
        </w:rPr>
        <w:t>%。主要原因：一是人员正常晋升、职务晋升等工资经费增加；二是本年度新招录</w:t>
      </w:r>
      <w:r>
        <w:rPr>
          <w:rFonts w:hint="eastAsia" w:ascii="仿宋_GB2312" w:hAnsi="ˎ̥" w:eastAsia="仿宋_GB2312"/>
          <w:sz w:val="32"/>
          <w:szCs w:val="32"/>
          <w:lang w:val="en-US" w:eastAsia="zh-CN"/>
        </w:rPr>
        <w:t>16</w:t>
      </w:r>
      <w:r>
        <w:rPr>
          <w:rFonts w:hint="eastAsia" w:ascii="仿宋_GB2312" w:hAnsi="ˎ̥" w:eastAsia="仿宋_GB2312"/>
          <w:sz w:val="32"/>
          <w:szCs w:val="32"/>
        </w:rPr>
        <w:t>名聘用制书记员，相关基本工资、社保缴费、办公经费等增加；三是根据上年度支出情况，调整本年度预算。</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财政拨款年初结转结余</w:t>
      </w:r>
      <w:r>
        <w:rPr>
          <w:rFonts w:hint="eastAsia" w:ascii="仿宋_GB2312" w:hAnsi="ˎ̥" w:eastAsia="仿宋_GB2312"/>
          <w:sz w:val="32"/>
          <w:szCs w:val="32"/>
          <w:lang w:val="en-US" w:eastAsia="zh-CN"/>
        </w:rPr>
        <w:t>563.51</w:t>
      </w:r>
      <w:r>
        <w:rPr>
          <w:rFonts w:hint="eastAsia" w:ascii="仿宋_GB2312" w:hAnsi="ˎ̥" w:eastAsia="仿宋_GB2312"/>
          <w:sz w:val="32"/>
          <w:szCs w:val="32"/>
        </w:rPr>
        <w:t>万元，较2018年度决算数减少</w:t>
      </w:r>
      <w:r>
        <w:rPr>
          <w:rFonts w:hint="eastAsia" w:ascii="仿宋_GB2312" w:hAnsi="ˎ̥" w:eastAsia="仿宋_GB2312"/>
          <w:sz w:val="32"/>
          <w:szCs w:val="32"/>
          <w:lang w:val="en-US" w:eastAsia="zh-CN"/>
        </w:rPr>
        <w:t>12.13</w:t>
      </w:r>
      <w:r>
        <w:rPr>
          <w:rFonts w:hint="eastAsia" w:ascii="仿宋_GB2312" w:hAnsi="ˎ̥" w:eastAsia="仿宋_GB2312"/>
          <w:sz w:val="32"/>
          <w:szCs w:val="32"/>
        </w:rPr>
        <w:t>万元，下降</w:t>
      </w:r>
      <w:r>
        <w:rPr>
          <w:rFonts w:hint="eastAsia" w:ascii="仿宋_GB2312" w:hAnsi="ˎ̥" w:eastAsia="仿宋_GB2312"/>
          <w:sz w:val="32"/>
          <w:szCs w:val="32"/>
          <w:lang w:val="en-US" w:eastAsia="zh-CN"/>
        </w:rPr>
        <w:t>2.1</w:t>
      </w:r>
      <w:r>
        <w:rPr>
          <w:rFonts w:hint="eastAsia" w:ascii="仿宋_GB2312" w:hAnsi="ˎ̥" w:eastAsia="仿宋_GB2312"/>
          <w:sz w:val="32"/>
          <w:szCs w:val="32"/>
        </w:rPr>
        <w:t>%，主要原因是在规范支出的同时提高资金执行进度。</w:t>
      </w:r>
    </w:p>
    <w:p>
      <w:pPr>
        <w:numPr>
          <w:ilvl w:val="0"/>
          <w:numId w:val="1"/>
        </w:numPr>
        <w:ind w:firstLine="640" w:firstLineChars="200"/>
        <w:rPr>
          <w:rFonts w:hint="eastAsia" w:ascii="仿宋" w:hAnsi="仿宋" w:eastAsia="仿宋" w:cs="Times New Roman"/>
          <w:kern w:val="0"/>
          <w:sz w:val="32"/>
          <w:szCs w:val="32"/>
          <w:lang w:val="zh-CN" w:eastAsia="zh-CN"/>
        </w:rPr>
      </w:pPr>
      <w:r>
        <w:rPr>
          <w:rFonts w:hint="eastAsia" w:ascii="仿宋_GB2312" w:hAnsi="ˎ̥" w:eastAsia="仿宋_GB2312"/>
          <w:sz w:val="32"/>
          <w:szCs w:val="32"/>
        </w:rPr>
        <w:t>财政拨款年末结转结余</w:t>
      </w:r>
      <w:r>
        <w:rPr>
          <w:rFonts w:hint="eastAsia" w:ascii="仿宋_GB2312" w:hAnsi="ˎ̥" w:eastAsia="仿宋_GB2312"/>
          <w:sz w:val="32"/>
          <w:szCs w:val="32"/>
          <w:lang w:val="en-US" w:eastAsia="zh-CN"/>
        </w:rPr>
        <w:t>696.31</w:t>
      </w:r>
      <w:r>
        <w:rPr>
          <w:rFonts w:hint="eastAsia" w:ascii="仿宋_GB2312" w:hAnsi="ˎ̥" w:eastAsia="仿宋_GB2312"/>
          <w:sz w:val="32"/>
          <w:szCs w:val="32"/>
        </w:rPr>
        <w:t>万元，较2018年度决算数增加</w:t>
      </w:r>
      <w:r>
        <w:rPr>
          <w:rFonts w:hint="eastAsia" w:ascii="仿宋_GB2312" w:hAnsi="ˎ̥" w:eastAsia="仿宋_GB2312"/>
          <w:sz w:val="32"/>
          <w:szCs w:val="32"/>
          <w:lang w:val="en-US" w:eastAsia="zh-CN"/>
        </w:rPr>
        <w:t>135.61</w:t>
      </w:r>
      <w:r>
        <w:rPr>
          <w:rFonts w:hint="eastAsia" w:ascii="仿宋_GB2312" w:hAnsi="ˎ̥" w:eastAsia="仿宋_GB2312"/>
          <w:sz w:val="32"/>
          <w:szCs w:val="32"/>
        </w:rPr>
        <w:t>万元，增长</w:t>
      </w:r>
      <w:r>
        <w:rPr>
          <w:rFonts w:hint="eastAsia" w:ascii="仿宋_GB2312" w:hAnsi="ˎ̥" w:eastAsia="仿宋_GB2312"/>
          <w:sz w:val="32"/>
          <w:szCs w:val="32"/>
          <w:lang w:val="en-US" w:eastAsia="zh-CN"/>
        </w:rPr>
        <w:t>24.19</w:t>
      </w:r>
      <w:r>
        <w:rPr>
          <w:rFonts w:hint="eastAsia" w:ascii="仿宋_GB2312" w:hAnsi="ˎ̥" w:eastAsia="仿宋_GB2312"/>
          <w:sz w:val="32"/>
          <w:szCs w:val="32"/>
        </w:rPr>
        <w:t>%，</w:t>
      </w:r>
      <w:r>
        <w:rPr>
          <w:rFonts w:hint="default" w:ascii="仿宋" w:hAnsi="仿宋" w:eastAsia="仿宋" w:cs="Times New Roman"/>
          <w:kern w:val="0"/>
          <w:sz w:val="32"/>
          <w:szCs w:val="32"/>
          <w:lang w:val="zh-CN" w:eastAsia="zh-CN"/>
        </w:rPr>
        <w:t>主要原因是</w:t>
      </w:r>
      <w:r>
        <w:rPr>
          <w:rFonts w:hint="eastAsia" w:ascii="仿宋" w:hAnsi="仿宋" w:eastAsia="仿宋" w:cs="Times New Roman"/>
          <w:kern w:val="0"/>
          <w:sz w:val="32"/>
          <w:szCs w:val="32"/>
          <w:lang w:val="zh-CN" w:eastAsia="zh-CN"/>
        </w:rPr>
        <w:t>我院项目建设完工。</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hint="eastAsia" w:ascii="楷体" w:hAnsi="楷体" w:eastAsia="楷体" w:cs="楷体"/>
          <w:sz w:val="32"/>
          <w:szCs w:val="32"/>
        </w:rPr>
      </w:pPr>
      <w:bookmarkStart w:id="73" w:name="_Toc13694_WPSOffice_Level2"/>
      <w:bookmarkStart w:id="74" w:name="_Toc17398_WPSOffice_Level2"/>
      <w:bookmarkStart w:id="75" w:name="_Toc19665_WPSOffice_Level2"/>
      <w:bookmarkStart w:id="76" w:name="_Toc23005_WPSOffice_Level2"/>
      <w:bookmarkStart w:id="77" w:name="_Toc9989_WPSOffice_Level2"/>
      <w:bookmarkStart w:id="78" w:name="_Toc21737_WPSOffice_Level2"/>
      <w:r>
        <w:rPr>
          <w:rFonts w:hint="eastAsia" w:ascii="楷体" w:hAnsi="楷体" w:eastAsia="楷体" w:cs="楷体"/>
          <w:sz w:val="32"/>
          <w:szCs w:val="32"/>
        </w:rPr>
        <w:t>（一）一般公共预算财政拨款支出决算总体情况</w:t>
      </w:r>
      <w:bookmarkEnd w:id="73"/>
      <w:bookmarkEnd w:id="74"/>
      <w:r>
        <w:rPr>
          <w:rFonts w:hint="eastAsia" w:ascii="楷体" w:hAnsi="楷体" w:eastAsia="楷体" w:cs="楷体"/>
          <w:sz w:val="32"/>
          <w:szCs w:val="32"/>
        </w:rPr>
        <w:t>。</w:t>
      </w:r>
      <w:bookmarkEnd w:id="75"/>
      <w:bookmarkEnd w:id="76"/>
      <w:bookmarkEnd w:id="77"/>
      <w:bookmarkEnd w:id="78"/>
    </w:p>
    <w:p>
      <w:pPr>
        <w:ind w:firstLine="640" w:firstLineChars="200"/>
        <w:rPr>
          <w:rFonts w:hint="eastAsia" w:ascii="仿宋_GB2312" w:hAnsi="ˎ̥" w:eastAsia="仿宋_GB2312"/>
          <w:sz w:val="32"/>
          <w:szCs w:val="32"/>
        </w:rPr>
      </w:pPr>
      <w:r>
        <w:rPr>
          <w:rFonts w:hint="eastAsia" w:ascii="仿宋_GB2312" w:hAnsi="ˎ̥" w:eastAsia="仿宋_GB2312"/>
          <w:sz w:val="32"/>
          <w:szCs w:val="32"/>
        </w:rPr>
        <w:t>2019年度一般公共预算财政拨款支出</w:t>
      </w:r>
      <w:r>
        <w:rPr>
          <w:rFonts w:hint="eastAsia" w:ascii="仿宋_GB2312" w:hAnsi="ˎ̥" w:eastAsia="仿宋_GB2312"/>
          <w:sz w:val="32"/>
          <w:szCs w:val="32"/>
          <w:lang w:val="en-US" w:eastAsia="zh-CN"/>
        </w:rPr>
        <w:t>2137.92</w:t>
      </w:r>
      <w:r>
        <w:rPr>
          <w:rFonts w:hint="eastAsia" w:ascii="仿宋_GB2312" w:hAnsi="ˎ̥" w:eastAsia="仿宋_GB2312"/>
          <w:sz w:val="32"/>
          <w:szCs w:val="32"/>
        </w:rPr>
        <w:t>万元，与2018年度相比，财政拨款支出增加</w:t>
      </w:r>
      <w:r>
        <w:rPr>
          <w:rFonts w:hint="eastAsia" w:ascii="仿宋_GB2312" w:hAnsi="ˎ̥" w:eastAsia="仿宋_GB2312"/>
          <w:sz w:val="32"/>
          <w:szCs w:val="32"/>
          <w:lang w:val="en-US" w:eastAsia="zh-CN"/>
        </w:rPr>
        <w:t>268.76</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14.38</w:t>
      </w:r>
      <w:r>
        <w:rPr>
          <w:rFonts w:hint="eastAsia" w:ascii="仿宋_GB2312" w:hAnsi="ˎ̥" w:eastAsia="仿宋_GB2312"/>
          <w:sz w:val="32"/>
          <w:szCs w:val="32"/>
        </w:rPr>
        <w:t>%，</w:t>
      </w:r>
      <w:bookmarkStart w:id="79" w:name="_Toc18793_WPSOffice_Level2"/>
      <w:bookmarkStart w:id="80" w:name="_Toc2711_WPSOffice_Level2"/>
      <w:bookmarkStart w:id="81" w:name="_Toc19075_WPSOffice_Level2"/>
      <w:bookmarkStart w:id="82" w:name="_Toc23864_WPSOffice_Level2"/>
      <w:bookmarkStart w:id="83" w:name="_Toc27767_WPSOffice_Level2"/>
      <w:bookmarkStart w:id="84" w:name="_Toc19535_WPSOffice_Level2"/>
      <w:r>
        <w:rPr>
          <w:rFonts w:hint="eastAsia" w:ascii="仿宋_GB2312" w:hAnsi="ˎ̥" w:eastAsia="仿宋_GB2312"/>
          <w:sz w:val="32"/>
          <w:szCs w:val="32"/>
        </w:rPr>
        <w:t>主要原因：一是人员正常晋升、职务晋升等工资经费增加；二是本年度新招录</w:t>
      </w:r>
      <w:r>
        <w:rPr>
          <w:rFonts w:hint="eastAsia" w:ascii="仿宋_GB2312" w:hAnsi="ˎ̥" w:eastAsia="仿宋_GB2312"/>
          <w:sz w:val="32"/>
          <w:szCs w:val="32"/>
          <w:lang w:val="en-US" w:eastAsia="zh-CN"/>
        </w:rPr>
        <w:t>14</w:t>
      </w:r>
      <w:r>
        <w:rPr>
          <w:rFonts w:hint="eastAsia" w:ascii="仿宋_GB2312" w:hAnsi="ˎ̥" w:eastAsia="仿宋_GB2312"/>
          <w:sz w:val="32"/>
          <w:szCs w:val="32"/>
        </w:rPr>
        <w:t>名聘用制书记员，相关基本工资、社保缴费、办公经费等增加；三是根据上年度支出情况，调整本年度预算。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（二）一般公共预算财政拨款支出决算结构情况</w:t>
      </w:r>
      <w:bookmarkEnd w:id="79"/>
      <w:bookmarkEnd w:id="80"/>
      <w:r>
        <w:rPr>
          <w:rFonts w:hint="eastAsia" w:ascii="楷体" w:hAnsi="楷体" w:eastAsia="楷体" w:cs="楷体"/>
          <w:sz w:val="32"/>
          <w:szCs w:val="32"/>
        </w:rPr>
        <w:t>。</w:t>
      </w:r>
      <w:bookmarkEnd w:id="81"/>
      <w:bookmarkEnd w:id="82"/>
      <w:bookmarkEnd w:id="83"/>
      <w:bookmarkEnd w:id="84"/>
    </w:p>
    <w:p>
      <w:pPr>
        <w:ind w:firstLine="640" w:firstLineChars="200"/>
        <w:rPr>
          <w:rFonts w:hint="eastAsia" w:ascii="仿宋_GB2312" w:hAnsi="ˎ̥" w:eastAsia="仿宋_GB2312"/>
          <w:sz w:val="32"/>
          <w:szCs w:val="32"/>
        </w:rPr>
      </w:pPr>
      <w:r>
        <w:rPr>
          <w:rFonts w:hint="eastAsia" w:ascii="仿宋_GB2312" w:hAnsi="ˎ̥" w:eastAsia="仿宋_GB2312"/>
          <w:sz w:val="32"/>
          <w:szCs w:val="32"/>
        </w:rPr>
        <w:t>2019年度一般公共预算财政拨款支出</w:t>
      </w:r>
      <w:r>
        <w:rPr>
          <w:rFonts w:hint="eastAsia" w:ascii="仿宋_GB2312" w:hAnsi="ˎ̥" w:eastAsia="仿宋_GB2312"/>
          <w:sz w:val="32"/>
          <w:szCs w:val="32"/>
          <w:lang w:val="en-US" w:eastAsia="zh-CN"/>
        </w:rPr>
        <w:t>2137.92</w:t>
      </w:r>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w:t>
      </w:r>
      <w:r>
        <w:rPr>
          <w:rFonts w:hint="eastAsia" w:ascii="仿宋_GB2312" w:hAnsi="ˎ̥" w:eastAsia="仿宋_GB2312"/>
          <w:sz w:val="32"/>
          <w:szCs w:val="32"/>
          <w:lang w:val="en-US" w:eastAsia="zh-CN"/>
        </w:rPr>
        <w:t>1888.29</w:t>
      </w:r>
      <w:r>
        <w:rPr>
          <w:rFonts w:hint="eastAsia" w:ascii="仿宋_GB2312" w:hAnsi="ˎ̥" w:eastAsia="仿宋_GB2312"/>
          <w:sz w:val="32"/>
          <w:szCs w:val="32"/>
        </w:rPr>
        <w:t>万元，占</w:t>
      </w:r>
      <w:r>
        <w:rPr>
          <w:rFonts w:hint="eastAsia" w:ascii="仿宋_GB2312" w:hAnsi="ˎ̥" w:eastAsia="仿宋_GB2312"/>
          <w:sz w:val="32"/>
          <w:szCs w:val="32"/>
          <w:lang w:val="en-US" w:eastAsia="zh-CN"/>
        </w:rPr>
        <w:t>88.32</w:t>
      </w:r>
      <w:r>
        <w:rPr>
          <w:rFonts w:hint="eastAsia" w:ascii="仿宋_GB2312" w:hAnsi="ˎ̥" w:eastAsia="仿宋_GB2312"/>
          <w:sz w:val="32"/>
          <w:szCs w:val="32"/>
        </w:rPr>
        <w:t>%；</w:t>
      </w:r>
      <w:r>
        <w:rPr>
          <w:rFonts w:hint="eastAsia" w:ascii="仿宋_GB2312" w:hAnsi="ˎ̥" w:eastAsia="仿宋_GB2312"/>
          <w:b/>
          <w:sz w:val="32"/>
          <w:szCs w:val="32"/>
        </w:rPr>
        <w:t>社会保障和就业（类）支出</w:t>
      </w:r>
      <w:r>
        <w:rPr>
          <w:rFonts w:hint="eastAsia" w:ascii="仿宋_GB2312" w:hAnsi="ˎ̥" w:eastAsia="仿宋_GB2312"/>
          <w:sz w:val="32"/>
          <w:szCs w:val="32"/>
          <w:lang w:val="en-US" w:eastAsia="zh-CN"/>
        </w:rPr>
        <w:t>73.93</w:t>
      </w:r>
      <w:r>
        <w:rPr>
          <w:rFonts w:hint="eastAsia" w:ascii="仿宋_GB2312" w:hAnsi="ˎ̥" w:eastAsia="仿宋_GB2312"/>
          <w:sz w:val="32"/>
          <w:szCs w:val="32"/>
        </w:rPr>
        <w:t>万元，占</w:t>
      </w:r>
      <w:r>
        <w:rPr>
          <w:rFonts w:hint="eastAsia" w:ascii="仿宋_GB2312" w:hAnsi="ˎ̥" w:eastAsia="仿宋_GB2312"/>
          <w:sz w:val="32"/>
          <w:szCs w:val="32"/>
          <w:lang w:val="en-US" w:eastAsia="zh-CN"/>
        </w:rPr>
        <w:t>3.46</w:t>
      </w:r>
      <w:r>
        <w:rPr>
          <w:rFonts w:hint="eastAsia" w:ascii="仿宋_GB2312" w:hAnsi="ˎ̥" w:eastAsia="仿宋_GB2312"/>
          <w:sz w:val="32"/>
          <w:szCs w:val="32"/>
        </w:rPr>
        <w:t>%；</w:t>
      </w:r>
      <w:r>
        <w:rPr>
          <w:rFonts w:hint="eastAsia" w:ascii="仿宋_GB2312" w:hAnsi="ˎ̥" w:eastAsia="仿宋_GB2312"/>
          <w:b/>
          <w:sz w:val="32"/>
          <w:szCs w:val="32"/>
        </w:rPr>
        <w:t>卫生健康支出</w:t>
      </w:r>
      <w:r>
        <w:rPr>
          <w:rFonts w:hint="eastAsia" w:ascii="仿宋_GB2312" w:hAnsi="ˎ̥" w:eastAsia="仿宋_GB2312"/>
          <w:b/>
          <w:bCs/>
          <w:sz w:val="32"/>
          <w:szCs w:val="32"/>
        </w:rPr>
        <w:t>（类）</w:t>
      </w:r>
      <w:r>
        <w:rPr>
          <w:rFonts w:hint="eastAsia" w:ascii="仿宋_GB2312" w:hAnsi="ˎ̥" w:eastAsia="仿宋_GB2312"/>
          <w:b/>
          <w:sz w:val="32"/>
          <w:szCs w:val="32"/>
        </w:rPr>
        <w:t>支出</w:t>
      </w:r>
      <w:r>
        <w:rPr>
          <w:rFonts w:hint="eastAsia" w:ascii="仿宋_GB2312" w:hAnsi="ˎ̥" w:eastAsia="仿宋_GB2312"/>
          <w:sz w:val="32"/>
          <w:szCs w:val="32"/>
          <w:lang w:val="en-US" w:eastAsia="zh-CN"/>
        </w:rPr>
        <w:t>97.33</w:t>
      </w:r>
      <w:r>
        <w:rPr>
          <w:rFonts w:hint="eastAsia" w:ascii="仿宋_GB2312" w:hAnsi="ˎ̥" w:eastAsia="仿宋_GB2312"/>
          <w:sz w:val="32"/>
          <w:szCs w:val="32"/>
        </w:rPr>
        <w:t>万元，占</w:t>
      </w:r>
      <w:r>
        <w:rPr>
          <w:rFonts w:hint="eastAsia" w:ascii="仿宋_GB2312" w:hAnsi="ˎ̥" w:eastAsia="仿宋_GB2312"/>
          <w:sz w:val="32"/>
          <w:szCs w:val="32"/>
          <w:lang w:val="en-US" w:eastAsia="zh-CN"/>
        </w:rPr>
        <w:t>4.55</w:t>
      </w:r>
      <w:r>
        <w:rPr>
          <w:rFonts w:hint="eastAsia" w:ascii="仿宋_GB2312" w:hAnsi="ˎ̥" w:eastAsia="仿宋_GB2312"/>
          <w:sz w:val="32"/>
          <w:szCs w:val="32"/>
        </w:rPr>
        <w:t>%；</w:t>
      </w:r>
      <w:r>
        <w:rPr>
          <w:rFonts w:hint="eastAsia" w:ascii="仿宋_GB2312" w:hAnsi="ˎ̥" w:eastAsia="仿宋_GB2312"/>
          <w:b/>
          <w:bCs/>
          <w:sz w:val="32"/>
          <w:szCs w:val="32"/>
        </w:rPr>
        <w:t>住房保障（类）</w:t>
      </w:r>
      <w:r>
        <w:rPr>
          <w:rFonts w:hint="eastAsia" w:ascii="仿宋_GB2312" w:hAnsi="ˎ̥" w:eastAsia="仿宋_GB2312"/>
          <w:b/>
          <w:sz w:val="32"/>
          <w:szCs w:val="32"/>
        </w:rPr>
        <w:t>支出</w:t>
      </w:r>
      <w:r>
        <w:rPr>
          <w:rFonts w:hint="eastAsia" w:ascii="仿宋_GB2312" w:hAnsi="ˎ̥" w:eastAsia="仿宋_GB2312"/>
          <w:sz w:val="32"/>
          <w:szCs w:val="32"/>
          <w:lang w:val="en-US" w:eastAsia="zh-CN"/>
        </w:rPr>
        <w:t>78.36</w:t>
      </w:r>
      <w:r>
        <w:rPr>
          <w:rFonts w:hint="eastAsia" w:ascii="仿宋_GB2312" w:hAnsi="ˎ̥" w:eastAsia="仿宋_GB2312"/>
          <w:sz w:val="32"/>
          <w:szCs w:val="32"/>
        </w:rPr>
        <w:t>万元，占</w:t>
      </w:r>
      <w:r>
        <w:rPr>
          <w:rFonts w:hint="eastAsia" w:ascii="仿宋_GB2312" w:hAnsi="ˎ̥" w:eastAsia="仿宋_GB2312"/>
          <w:sz w:val="32"/>
          <w:szCs w:val="32"/>
          <w:lang w:val="en-US" w:eastAsia="zh-CN"/>
        </w:rPr>
        <w:t>3.67</w:t>
      </w:r>
      <w:r>
        <w:rPr>
          <w:rFonts w:hint="eastAsia" w:ascii="仿宋_GB2312" w:hAnsi="ˎ̥" w:eastAsia="仿宋_GB2312"/>
          <w:sz w:val="32"/>
          <w:szCs w:val="32"/>
        </w:rPr>
        <w:t>%</w:t>
      </w:r>
      <w:r>
        <w:rPr>
          <w:rFonts w:hint="eastAsia" w:ascii="仿宋_GB2312" w:hAnsi="ˎ̥" w:eastAsia="仿宋_GB2312"/>
          <w:sz w:val="32"/>
          <w:szCs w:val="32"/>
          <w:lang w:eastAsia="zh-CN"/>
        </w:rPr>
        <w:t>，其他支出（类）支出</w:t>
      </w:r>
      <w:r>
        <w:rPr>
          <w:rFonts w:hint="eastAsia" w:ascii="仿宋_GB2312" w:hAnsi="ˎ̥" w:eastAsia="仿宋_GB2312"/>
          <w:sz w:val="32"/>
          <w:szCs w:val="32"/>
          <w:lang w:val="en-US" w:eastAsia="zh-CN"/>
        </w:rPr>
        <w:t>0.01万元，占0.00%。</w:t>
      </w:r>
    </w:p>
    <w:p>
      <w:pPr>
        <w:ind w:firstLine="640" w:firstLineChars="200"/>
        <w:rPr>
          <w:rFonts w:hint="eastAsia" w:ascii="楷体" w:hAnsi="楷体" w:eastAsia="楷体" w:cs="楷体"/>
          <w:sz w:val="32"/>
          <w:szCs w:val="32"/>
        </w:rPr>
      </w:pPr>
      <w:bookmarkStart w:id="85" w:name="_Toc29364_WPSOffice_Level2"/>
      <w:bookmarkStart w:id="86" w:name="_Toc15415_WPSOffice_Level2"/>
      <w:bookmarkStart w:id="87" w:name="_Toc25136_WPSOffice_Level2"/>
      <w:bookmarkStart w:id="88" w:name="_Toc21701_WPSOffice_Level2"/>
      <w:bookmarkStart w:id="89" w:name="_Toc22318_WPSOffice_Level2"/>
      <w:bookmarkStart w:id="90" w:name="_Toc9502_WPSOffice_Level2"/>
      <w:r>
        <w:rPr>
          <w:rFonts w:hint="eastAsia" w:ascii="楷体" w:hAnsi="楷体" w:eastAsia="楷体" w:cs="楷体"/>
          <w:sz w:val="32"/>
          <w:szCs w:val="32"/>
        </w:rPr>
        <w:t>（三）一般公共预算财政拨款支出决算具体情况。</w:t>
      </w:r>
      <w:bookmarkEnd w:id="85"/>
      <w:bookmarkEnd w:id="86"/>
      <w:bookmarkEnd w:id="87"/>
      <w:bookmarkEnd w:id="88"/>
      <w:bookmarkEnd w:id="89"/>
      <w:bookmarkEnd w:id="90"/>
    </w:p>
    <w:p>
      <w:pPr>
        <w:ind w:firstLine="640" w:firstLineChars="200"/>
        <w:rPr>
          <w:rFonts w:hint="eastAsia" w:ascii="仿宋_GB2312" w:hAnsi="ˎ̥" w:eastAsia="仿宋_GB2312"/>
          <w:sz w:val="32"/>
          <w:szCs w:val="32"/>
        </w:rPr>
      </w:pPr>
      <w:r>
        <w:rPr>
          <w:rFonts w:hint="eastAsia" w:ascii="仿宋_GB2312" w:hAnsi="ˎ̥" w:eastAsia="仿宋_GB2312"/>
          <w:sz w:val="32"/>
          <w:szCs w:val="32"/>
        </w:rPr>
        <w:t>2019年度财政拨款支出年初预算为</w:t>
      </w:r>
      <w:r>
        <w:rPr>
          <w:rFonts w:hint="eastAsia" w:ascii="仿宋_GB2312" w:hAnsi="ˎ̥" w:eastAsia="仿宋_GB2312"/>
          <w:sz w:val="32"/>
          <w:szCs w:val="32"/>
          <w:lang w:val="en-US" w:eastAsia="zh-CN"/>
        </w:rPr>
        <w:t>2005.08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2137.92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106.58</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rPr>
        <w:t>1.</w:t>
      </w:r>
      <w:r>
        <w:rPr>
          <w:rFonts w:hint="eastAsia" w:ascii="仿宋_GB2312" w:hAnsi="ˎ̥" w:eastAsia="仿宋_GB2312"/>
          <w:b/>
          <w:sz w:val="32"/>
          <w:szCs w:val="32"/>
        </w:rPr>
        <w:t>一般公共服务（类）人大事务（款）行政运行（项）。</w:t>
      </w:r>
    </w:p>
    <w:p>
      <w:pPr>
        <w:rPr>
          <w:rFonts w:hint="eastAsia" w:ascii="仿宋_GB2312" w:hAnsi="ˎ̥" w:eastAsia="仿宋_GB2312"/>
          <w:color w:val="FF0000"/>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1721.38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1888.29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109.7</w:t>
      </w:r>
      <w:r>
        <w:rPr>
          <w:rFonts w:hint="eastAsia" w:ascii="仿宋_GB2312" w:hAnsi="ˎ̥" w:eastAsia="仿宋_GB2312"/>
          <w:sz w:val="32"/>
          <w:szCs w:val="32"/>
        </w:rPr>
        <w:t>%，决算数与预算数一致。</w:t>
      </w:r>
    </w:p>
    <w:p>
      <w:pPr>
        <w:ind w:firstLine="640" w:firstLineChars="200"/>
        <w:rPr>
          <w:rFonts w:hint="eastAsia" w:ascii="仿宋_GB2312" w:hAnsi="ˎ̥" w:eastAsia="仿宋_GB2312"/>
          <w:b/>
          <w:sz w:val="32"/>
          <w:szCs w:val="32"/>
        </w:rPr>
      </w:pPr>
      <w:r>
        <w:rPr>
          <w:rFonts w:hint="eastAsia" w:ascii="仿宋_GB2312" w:hAnsi="ˎ̥" w:eastAsia="仿宋_GB2312"/>
          <w:sz w:val="32"/>
          <w:szCs w:val="32"/>
        </w:rPr>
        <w:t>2.</w:t>
      </w:r>
      <w:r>
        <w:rPr>
          <w:rFonts w:hint="eastAsia" w:ascii="仿宋_GB2312" w:hAnsi="ˎ̥" w:eastAsia="仿宋_GB2312"/>
          <w:b/>
          <w:sz w:val="32"/>
          <w:szCs w:val="32"/>
        </w:rPr>
        <w:t xml:space="preserve"> 社会保障和就业（类）行政事业单位离退休（款）归口管理的行政单位离退休（项）。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96.45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73.93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76.65</w:t>
      </w:r>
      <w:r>
        <w:rPr>
          <w:rFonts w:hint="eastAsia" w:ascii="仿宋_GB2312" w:hAnsi="ˎ̥" w:eastAsia="仿宋_GB2312"/>
          <w:sz w:val="32"/>
          <w:szCs w:val="32"/>
        </w:rPr>
        <w:t>%，决算数与预算数一致。</w:t>
      </w:r>
    </w:p>
    <w:p>
      <w:pPr>
        <w:ind w:firstLine="640" w:firstLineChars="200"/>
        <w:rPr>
          <w:rFonts w:hint="eastAsia" w:ascii="仿宋_GB2312" w:hAnsi="ˎ̥" w:eastAsia="仿宋_GB2312"/>
          <w:sz w:val="32"/>
          <w:szCs w:val="32"/>
        </w:rPr>
      </w:pPr>
      <w:r>
        <w:rPr>
          <w:rFonts w:hint="eastAsia" w:ascii="仿宋_GB2312" w:hAnsi="ˎ̥" w:eastAsia="仿宋_GB2312"/>
          <w:b/>
          <w:sz w:val="32"/>
          <w:szCs w:val="32"/>
        </w:rPr>
        <w:t>3. 卫生健康支出</w:t>
      </w:r>
      <w:r>
        <w:rPr>
          <w:rFonts w:hint="eastAsia" w:ascii="仿宋_GB2312" w:hAnsi="ˎ̥" w:eastAsia="仿宋_GB2312"/>
          <w:b/>
          <w:bCs/>
          <w:sz w:val="32"/>
          <w:szCs w:val="32"/>
        </w:rPr>
        <w:t>（类）</w:t>
      </w:r>
      <w:r>
        <w:rPr>
          <w:rFonts w:hint="eastAsia" w:ascii="仿宋_GB2312" w:hAnsi="ˎ̥" w:eastAsia="仿宋_GB2312"/>
          <w:b/>
          <w:sz w:val="32"/>
          <w:szCs w:val="32"/>
        </w:rPr>
        <w:t>行政事业单位医疗（款）行政单位医疗（项）。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106.35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97.33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91.52</w:t>
      </w:r>
      <w:r>
        <w:rPr>
          <w:rFonts w:hint="eastAsia" w:ascii="仿宋_GB2312" w:hAnsi="ˎ̥" w:eastAsia="仿宋_GB2312"/>
          <w:sz w:val="32"/>
          <w:szCs w:val="32"/>
        </w:rPr>
        <w:t>%，决算数与预算数一致。</w:t>
      </w:r>
    </w:p>
    <w:p>
      <w:pPr>
        <w:ind w:firstLine="640" w:firstLineChars="200"/>
        <w:rPr>
          <w:rFonts w:hint="eastAsia" w:ascii="仿宋_GB2312" w:hAnsi="ˎ̥" w:eastAsia="仿宋_GB2312"/>
          <w:color w:val="000000"/>
          <w:sz w:val="32"/>
          <w:szCs w:val="32"/>
        </w:rPr>
      </w:pPr>
      <w:r>
        <w:rPr>
          <w:rFonts w:hint="eastAsia" w:ascii="仿宋_GB2312" w:hAnsi="ˎ̥" w:eastAsia="仿宋_GB2312"/>
          <w:b/>
          <w:color w:val="000000"/>
          <w:sz w:val="32"/>
          <w:szCs w:val="32"/>
          <w:lang w:val="en-US" w:eastAsia="zh-CN"/>
        </w:rPr>
        <w:t>4</w:t>
      </w:r>
      <w:r>
        <w:rPr>
          <w:rFonts w:hint="eastAsia" w:ascii="仿宋_GB2312" w:hAnsi="ˎ̥" w:eastAsia="仿宋_GB2312"/>
          <w:b/>
          <w:color w:val="000000"/>
          <w:sz w:val="32"/>
          <w:szCs w:val="32"/>
        </w:rPr>
        <w:t>.</w:t>
      </w:r>
      <w:r>
        <w:rPr>
          <w:rFonts w:hint="eastAsia" w:ascii="仿宋_GB2312" w:hAnsi="ˎ̥" w:eastAsia="仿宋_GB2312"/>
          <w:b/>
          <w:bCs/>
          <w:color w:val="000000"/>
          <w:sz w:val="32"/>
          <w:szCs w:val="32"/>
        </w:rPr>
        <w:t xml:space="preserve"> 住房保障（类）</w:t>
      </w:r>
      <w:r>
        <w:rPr>
          <w:rFonts w:hint="eastAsia" w:ascii="仿宋_GB2312" w:hAnsi="ˎ̥" w:eastAsia="仿宋_GB2312"/>
          <w:b/>
          <w:color w:val="000000"/>
          <w:sz w:val="32"/>
          <w:szCs w:val="32"/>
        </w:rPr>
        <w:t>住房改革支出（款）住房公积金（项）。</w:t>
      </w:r>
      <w:r>
        <w:rPr>
          <w:rFonts w:hint="eastAsia" w:ascii="仿宋_GB2312" w:hAnsi="ˎ̥" w:eastAsia="仿宋_GB2312"/>
          <w:color w:val="000000"/>
          <w:sz w:val="32"/>
          <w:szCs w:val="32"/>
        </w:rPr>
        <w:t>年初预算为</w:t>
      </w:r>
      <w:r>
        <w:rPr>
          <w:rFonts w:hint="eastAsia" w:ascii="仿宋_GB2312" w:hAnsi="ˎ̥" w:eastAsia="仿宋_GB2312"/>
          <w:color w:val="000000"/>
          <w:sz w:val="32"/>
          <w:szCs w:val="32"/>
          <w:lang w:val="en-US" w:eastAsia="zh-CN"/>
        </w:rPr>
        <w:t>80.9</w:t>
      </w:r>
      <w:r>
        <w:rPr>
          <w:rFonts w:hint="eastAsia" w:ascii="仿宋_GB2312" w:hAnsi="ˎ̥" w:eastAsia="仿宋_GB2312"/>
          <w:color w:val="000000"/>
          <w:sz w:val="32"/>
          <w:szCs w:val="32"/>
        </w:rPr>
        <w:t>万元，支出决算为</w:t>
      </w:r>
      <w:r>
        <w:rPr>
          <w:rFonts w:hint="eastAsia" w:ascii="仿宋_GB2312" w:hAnsi="ˎ̥" w:eastAsia="仿宋_GB2312"/>
          <w:color w:val="000000"/>
          <w:sz w:val="32"/>
          <w:szCs w:val="32"/>
          <w:lang w:val="en-US" w:eastAsia="zh-CN"/>
        </w:rPr>
        <w:t>78.36</w:t>
      </w:r>
      <w:r>
        <w:rPr>
          <w:rFonts w:hint="eastAsia" w:ascii="仿宋_GB2312" w:hAnsi="ˎ̥" w:eastAsia="仿宋_GB2312"/>
          <w:color w:val="000000"/>
          <w:sz w:val="32"/>
          <w:szCs w:val="32"/>
        </w:rPr>
        <w:t>万元，完成年初预算的</w:t>
      </w:r>
      <w:r>
        <w:rPr>
          <w:rFonts w:hint="eastAsia" w:ascii="仿宋_GB2312" w:hAnsi="ˎ̥" w:eastAsia="仿宋_GB2312"/>
          <w:color w:val="000000"/>
          <w:sz w:val="32"/>
          <w:szCs w:val="32"/>
          <w:lang w:val="en-US" w:eastAsia="zh-CN"/>
        </w:rPr>
        <w:t>96.86</w:t>
      </w:r>
      <w:r>
        <w:rPr>
          <w:rFonts w:hint="eastAsia" w:ascii="仿宋_GB2312" w:hAnsi="ˎ̥" w:eastAsia="仿宋_GB2312"/>
          <w:color w:val="000000"/>
          <w:sz w:val="32"/>
          <w:szCs w:val="32"/>
        </w:rPr>
        <w:t>%，决算数与预算数一致。</w:t>
      </w:r>
    </w:p>
    <w:p>
      <w:pPr>
        <w:ind w:firstLine="640" w:firstLineChars="200"/>
        <w:rPr>
          <w:rFonts w:hint="eastAsia" w:ascii="仿宋_GB2312" w:hAnsi="ˎ̥" w:eastAsia="仿宋_GB2312"/>
          <w:color w:val="000000"/>
          <w:sz w:val="32"/>
          <w:szCs w:val="32"/>
        </w:rPr>
      </w:pPr>
      <w:r>
        <w:rPr>
          <w:rFonts w:hint="eastAsia" w:ascii="仿宋_GB2312" w:hAnsi="ˎ̥" w:eastAsia="仿宋_GB2312"/>
          <w:b/>
          <w:bCs/>
          <w:color w:val="000000"/>
          <w:sz w:val="32"/>
          <w:szCs w:val="32"/>
          <w:lang w:val="en-US" w:eastAsia="zh-CN"/>
        </w:rPr>
        <w:t>5</w:t>
      </w:r>
      <w:r>
        <w:rPr>
          <w:rFonts w:hint="eastAsia" w:ascii="仿宋_GB2312" w:hAnsi="ˎ̥" w:eastAsia="仿宋_GB2312"/>
          <w:b/>
          <w:bCs/>
          <w:color w:val="000000"/>
          <w:sz w:val="32"/>
          <w:szCs w:val="32"/>
          <w:lang w:val="en-US" w:eastAsia="zh-CN"/>
        </w:rPr>
        <w:t>.其他收入（类）</w:t>
      </w:r>
      <w:r>
        <w:rPr>
          <w:rFonts w:hint="eastAsia" w:ascii="仿宋_GB2312" w:hAnsi="ˎ̥" w:eastAsia="仿宋_GB2312"/>
          <w:color w:val="000000"/>
          <w:sz w:val="32"/>
          <w:szCs w:val="32"/>
        </w:rPr>
        <w:t>年初预算为</w:t>
      </w:r>
      <w:r>
        <w:rPr>
          <w:rFonts w:hint="eastAsia" w:ascii="仿宋_GB2312" w:hAnsi="ˎ̥" w:eastAsia="仿宋_GB2312"/>
          <w:color w:val="000000"/>
          <w:sz w:val="32"/>
          <w:szCs w:val="32"/>
          <w:lang w:val="en-US" w:eastAsia="zh-CN"/>
        </w:rPr>
        <w:t>0.00</w:t>
      </w:r>
      <w:r>
        <w:rPr>
          <w:rFonts w:hint="eastAsia" w:ascii="仿宋_GB2312" w:hAnsi="ˎ̥" w:eastAsia="仿宋_GB2312"/>
          <w:color w:val="000000"/>
          <w:sz w:val="32"/>
          <w:szCs w:val="32"/>
        </w:rPr>
        <w:t>万元，支出决算为</w:t>
      </w:r>
      <w:r>
        <w:rPr>
          <w:rFonts w:hint="eastAsia" w:ascii="仿宋_GB2312" w:hAnsi="ˎ̥" w:eastAsia="仿宋_GB2312"/>
          <w:color w:val="000000"/>
          <w:sz w:val="32"/>
          <w:szCs w:val="32"/>
          <w:lang w:val="en-US" w:eastAsia="zh-CN"/>
        </w:rPr>
        <w:t>0.01</w:t>
      </w:r>
      <w:r>
        <w:rPr>
          <w:rFonts w:hint="eastAsia" w:ascii="仿宋_GB2312" w:hAnsi="ˎ̥" w:eastAsia="仿宋_GB2312"/>
          <w:color w:val="000000"/>
          <w:sz w:val="32"/>
          <w:szCs w:val="32"/>
        </w:rPr>
        <w:t>万元，完成年初预算的</w:t>
      </w:r>
      <w:r>
        <w:rPr>
          <w:rFonts w:hint="eastAsia" w:ascii="仿宋_GB2312" w:hAnsi="ˎ̥" w:eastAsia="仿宋_GB2312"/>
          <w:color w:val="000000"/>
          <w:sz w:val="32"/>
          <w:szCs w:val="32"/>
          <w:lang w:val="en-US" w:eastAsia="zh-CN"/>
        </w:rPr>
        <w:t>100</w:t>
      </w:r>
      <w:bookmarkStart w:id="115" w:name="_GoBack"/>
      <w:bookmarkEnd w:id="115"/>
      <w:r>
        <w:rPr>
          <w:rFonts w:hint="eastAsia" w:ascii="仿宋_GB2312" w:hAnsi="ˎ̥" w:eastAsia="仿宋_GB2312"/>
          <w:color w:val="000000"/>
          <w:sz w:val="32"/>
          <w:szCs w:val="32"/>
        </w:rPr>
        <w:t>%，决算数与预算数一致。</w:t>
      </w:r>
    </w:p>
    <w:p>
      <w:pPr>
        <w:ind w:firstLine="640" w:firstLineChars="200"/>
        <w:rPr>
          <w:rFonts w:hint="eastAsia" w:ascii="仿宋_GB2312" w:hAnsi="ˎ̥" w:eastAsia="仿宋_GB2312"/>
          <w:b/>
          <w:bCs/>
          <w:color w:val="000000"/>
          <w:sz w:val="32"/>
          <w:szCs w:val="32"/>
          <w:lang w:val="en-US" w:eastAsia="zh-CN"/>
        </w:rPr>
      </w:pPr>
    </w:p>
    <w:p>
      <w:pPr>
        <w:ind w:firstLine="627" w:firstLineChars="196"/>
        <w:rPr>
          <w:rFonts w:hint="eastAsia"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2019年度财政拨款基本支出</w:t>
      </w:r>
      <w:r>
        <w:rPr>
          <w:rFonts w:hint="eastAsia" w:ascii="仿宋_GB2312" w:hAnsi="ˎ̥" w:eastAsia="仿宋_GB2312"/>
          <w:sz w:val="32"/>
          <w:szCs w:val="32"/>
          <w:lang w:val="en-US" w:eastAsia="zh-CN"/>
        </w:rPr>
        <w:t>1332.23</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1040.26</w:t>
      </w:r>
      <w:r>
        <w:rPr>
          <w:rFonts w:hint="eastAsia" w:ascii="仿宋_GB2312" w:hAnsi="ˎ̥" w:eastAsia="仿宋_GB2312"/>
          <w:sz w:val="32"/>
          <w:szCs w:val="32"/>
        </w:rPr>
        <w:t>万元，主要包括：基本工资、津贴补贴、奖金、社会保障缴费、职业年金缴费、伙食费、伙食补助费、绩效工资、其他工资福利支出等、离休费、退休费、生活补助、救济费、医疗费、住房公积金、其他对个人和家庭的补助支出等。公用经费</w:t>
      </w:r>
      <w:r>
        <w:rPr>
          <w:rFonts w:hint="eastAsia" w:ascii="仿宋_GB2312" w:hAnsi="ˎ̥" w:eastAsia="仿宋_GB2312"/>
          <w:sz w:val="32"/>
          <w:szCs w:val="32"/>
          <w:lang w:val="en-US" w:eastAsia="zh-CN"/>
        </w:rPr>
        <w:t>291.96</w:t>
      </w:r>
      <w:r>
        <w:rPr>
          <w:rFonts w:hint="eastAsia" w:ascii="仿宋_GB2312" w:hAnsi="ˎ̥" w:eastAsia="仿宋_GB2312"/>
          <w:sz w:val="32"/>
          <w:szCs w:val="32"/>
        </w:rPr>
        <w:t>万元，主要包括：办公费、印刷费、咨询费、手续费、水费、电费、邮电费、物业管理费、差旅费、维修（护）费、租赁费、会议费、培训费、公务接待费、专用材料费、被装购置费、专用燃料费、劳务费、委托业务费、工会经费、公务用车运行维护费、其他交通费用、税金及附加费用、其他商品和服务支出。</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七、政府性基金预算财政拨款收入支出决算情况说明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2019年度本院无政府性基金预算财政拨款收支。</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八、一般公共预算财政拨款“三公”经费支出决算情况说明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shd w:val="clear" w:color="auto" w:fill="FFFFFF"/>
        <w:ind w:firstLine="640" w:firstLineChars="200"/>
        <w:rPr>
          <w:rFonts w:hint="eastAsia" w:ascii="仿宋_GB2312" w:hAnsi="ˎ̥" w:eastAsia="仿宋_GB2312"/>
          <w:sz w:val="32"/>
          <w:szCs w:val="32"/>
        </w:rPr>
      </w:pPr>
      <w:r>
        <w:rPr>
          <w:rFonts w:hint="eastAsia" w:ascii="仿宋_GB2312" w:hAnsi="ˎ̥" w:eastAsia="仿宋_GB2312"/>
          <w:sz w:val="32"/>
          <w:szCs w:val="32"/>
        </w:rPr>
        <w:t>2019年度一般公共预算财政拨款“三公”经费支出预算为</w:t>
      </w:r>
      <w:r>
        <w:rPr>
          <w:rFonts w:hint="eastAsia" w:ascii="仿宋_GB2312" w:hAnsi="ˎ̥" w:eastAsia="仿宋_GB2312"/>
          <w:sz w:val="32"/>
          <w:szCs w:val="32"/>
          <w:lang w:val="en-US" w:eastAsia="zh-CN"/>
        </w:rPr>
        <w:t>32.55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19.4</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59.60</w:t>
      </w:r>
      <w:r>
        <w:rPr>
          <w:rFonts w:hint="eastAsia" w:ascii="仿宋_GB2312" w:hAnsi="ˎ̥" w:eastAsia="仿宋_GB2312"/>
          <w:sz w:val="32"/>
          <w:szCs w:val="32"/>
        </w:rPr>
        <w:t>%，决算数小于预算数的主要原因：一是大力倡导节能、绿色、低碳机关建设；二是严格执行财务制度，严格控制接待标准，三是严格执行公务用车制度，控制公务用车运行费。</w:t>
      </w:r>
    </w:p>
    <w:p>
      <w:pPr>
        <w:rPr>
          <w:rFonts w:hint="eastAsia" w:ascii="楷体" w:hAnsi="楷体" w:eastAsia="楷体" w:cs="楷体"/>
          <w:b/>
          <w:bCs/>
          <w:sz w:val="32"/>
          <w:szCs w:val="32"/>
        </w:rPr>
      </w:pPr>
      <w:r>
        <w:rPr>
          <w:rFonts w:hint="eastAsia" w:ascii="楷体" w:hAnsi="楷体" w:eastAsia="楷体" w:cs="楷体"/>
          <w:b/>
          <w:bCs/>
          <w:sz w:val="32"/>
          <w:szCs w:val="32"/>
        </w:rPr>
        <w:t xml:space="preserve">    （二）一般公共预算“三公”经费财政拨款支出决算具体情况说明。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2019年度一般公共预算财政拨款“三公”经费支出决算中，因公出国（境）费支出决算0万元；公务用车购置及运行费支出决算</w:t>
      </w:r>
      <w:r>
        <w:rPr>
          <w:rFonts w:hint="eastAsia" w:ascii="仿宋_GB2312" w:hAnsi="ˎ̥" w:eastAsia="仿宋_GB2312"/>
          <w:sz w:val="32"/>
          <w:szCs w:val="32"/>
          <w:lang w:val="en-US" w:eastAsia="zh-CN"/>
        </w:rPr>
        <w:t>18.11</w:t>
      </w:r>
      <w:r>
        <w:rPr>
          <w:rFonts w:hint="eastAsia" w:ascii="仿宋_GB2312" w:hAnsi="ˎ̥" w:eastAsia="仿宋_GB2312"/>
          <w:sz w:val="32"/>
          <w:szCs w:val="32"/>
        </w:rPr>
        <w:t>万元，占</w:t>
      </w:r>
      <w:r>
        <w:rPr>
          <w:rFonts w:hint="eastAsia" w:ascii="仿宋_GB2312" w:hAnsi="ˎ̥" w:eastAsia="仿宋_GB2312"/>
          <w:sz w:val="32"/>
          <w:szCs w:val="32"/>
          <w:lang w:val="en-US" w:eastAsia="zh-CN"/>
        </w:rPr>
        <w:t>93.35</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1.29</w:t>
      </w:r>
      <w:r>
        <w:rPr>
          <w:rFonts w:hint="eastAsia" w:ascii="仿宋_GB2312" w:hAnsi="ˎ̥" w:eastAsia="仿宋_GB2312"/>
          <w:sz w:val="32"/>
          <w:szCs w:val="32"/>
        </w:rPr>
        <w:t>万元，占</w:t>
      </w:r>
      <w:r>
        <w:rPr>
          <w:rFonts w:hint="eastAsia" w:ascii="仿宋_GB2312" w:hAnsi="ˎ̥" w:eastAsia="仿宋_GB2312"/>
          <w:sz w:val="32"/>
          <w:szCs w:val="32"/>
          <w:lang w:val="en-US" w:eastAsia="zh-CN"/>
        </w:rPr>
        <w:t>6.65</w:t>
      </w:r>
      <w:r>
        <w:rPr>
          <w:rFonts w:hint="eastAsia" w:ascii="仿宋_GB2312" w:hAnsi="ˎ̥" w:eastAsia="仿宋_GB2312"/>
          <w:sz w:val="32"/>
          <w:szCs w:val="32"/>
        </w:rPr>
        <w:t>%。具体情况如下：</w:t>
      </w:r>
    </w:p>
    <w:p>
      <w:pPr>
        <w:ind w:firstLine="640" w:firstLineChars="200"/>
        <w:rPr>
          <w:rFonts w:hint="eastAsia"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支出0万元。全年未安排因公出国（境）团组。</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因公出国（境）费支出决算比2018年度持平，主要原因是</w:t>
      </w:r>
      <w:r>
        <w:rPr>
          <w:rFonts w:hint="eastAsia" w:ascii="仿宋_GB2312" w:hAnsi="仿宋" w:eastAsia="仿宋_GB2312"/>
          <w:bCs/>
          <w:sz w:val="32"/>
          <w:szCs w:val="32"/>
        </w:rPr>
        <w:t>均未安排出国（境）团组</w:t>
      </w:r>
      <w:r>
        <w:rPr>
          <w:rFonts w:hint="eastAsia" w:ascii="仿宋_GB2312" w:hAnsi="ˎ̥" w:eastAsia="仿宋_GB2312"/>
          <w:sz w:val="32"/>
          <w:szCs w:val="32"/>
        </w:rPr>
        <w:t>。</w:t>
      </w:r>
    </w:p>
    <w:p>
      <w:pPr>
        <w:rPr>
          <w:rFonts w:hint="eastAsia" w:ascii="仿宋_GB2312" w:hAnsi="ˎ̥" w:eastAsia="仿宋_GB2312"/>
          <w:sz w:val="32"/>
          <w:szCs w:val="32"/>
        </w:rPr>
      </w:pPr>
      <w:r>
        <w:rPr>
          <w:rFonts w:hint="eastAsia" w:ascii="仿宋_GB2312" w:hAnsi="ˎ̥" w:eastAsia="仿宋_GB2312"/>
          <w:b/>
          <w:sz w:val="32"/>
          <w:szCs w:val="32"/>
        </w:rPr>
        <w:t xml:space="preserve">    2.公务用车购置及运行费支出</w:t>
      </w:r>
      <w:r>
        <w:rPr>
          <w:rFonts w:hint="eastAsia" w:ascii="仿宋_GB2312" w:hAnsi="ˎ̥" w:eastAsia="仿宋_GB2312"/>
          <w:sz w:val="32"/>
          <w:szCs w:val="32"/>
          <w:lang w:val="en-US" w:eastAsia="zh-CN"/>
        </w:rPr>
        <w:t>18.11</w:t>
      </w:r>
      <w:r>
        <w:rPr>
          <w:rFonts w:hint="eastAsia" w:ascii="仿宋_GB2312" w:hAnsi="ˎ̥" w:eastAsia="仿宋_GB2312"/>
          <w:sz w:val="32"/>
          <w:szCs w:val="32"/>
        </w:rPr>
        <w:t>万元。其中：</w:t>
      </w:r>
    </w:p>
    <w:p>
      <w:pPr>
        <w:ind w:firstLine="640"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rPr>
        <w:t>0万元，</w:t>
      </w:r>
      <w:r>
        <w:rPr>
          <w:rFonts w:hint="eastAsia" w:ascii="仿宋_GB2312" w:hAnsi="ˎ̥" w:eastAsia="仿宋_GB2312"/>
          <w:b/>
          <w:sz w:val="32"/>
          <w:szCs w:val="32"/>
        </w:rPr>
        <w:t>公务用车运行维护费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18.11</w:t>
      </w:r>
      <w:r>
        <w:rPr>
          <w:rFonts w:hint="eastAsia" w:ascii="仿宋_GB2312" w:hAnsi="ˎ̥" w:eastAsia="仿宋_GB2312"/>
          <w:sz w:val="32"/>
          <w:szCs w:val="32"/>
        </w:rPr>
        <w:t>万元，主要用于业务车辆运行燃料费、维修维护费等。</w:t>
      </w:r>
    </w:p>
    <w:p>
      <w:pPr>
        <w:spacing w:line="540" w:lineRule="exact"/>
        <w:ind w:firstLine="630"/>
        <w:rPr>
          <w:rFonts w:hint="eastAsia" w:ascii="仿宋_GB2312" w:hAnsi="仿宋" w:eastAsia="仿宋_GB2312"/>
          <w:bCs/>
          <w:sz w:val="32"/>
          <w:szCs w:val="32"/>
        </w:rPr>
      </w:pPr>
      <w:r>
        <w:rPr>
          <w:rFonts w:hint="eastAsia" w:ascii="仿宋_GB2312" w:hAnsi="ˎ̥" w:eastAsia="仿宋_GB2312"/>
          <w:bCs/>
          <w:sz w:val="32"/>
          <w:szCs w:val="32"/>
        </w:rPr>
        <w:t>公务用车购置及运行费支出决算</w:t>
      </w:r>
      <w:r>
        <w:rPr>
          <w:rFonts w:hint="eastAsia" w:ascii="仿宋_GB2312" w:hAnsi="ˎ̥" w:eastAsia="仿宋_GB2312"/>
          <w:sz w:val="32"/>
          <w:szCs w:val="32"/>
        </w:rPr>
        <w:t>比2018年度减少</w:t>
      </w:r>
      <w:r>
        <w:rPr>
          <w:rFonts w:hint="eastAsia" w:ascii="仿宋_GB2312" w:hAnsi="ˎ̥" w:eastAsia="仿宋_GB2312"/>
          <w:sz w:val="32"/>
          <w:szCs w:val="32"/>
          <w:lang w:val="en-US" w:eastAsia="zh-CN"/>
        </w:rPr>
        <w:t>3.85</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17.53</w:t>
      </w:r>
      <w:r>
        <w:rPr>
          <w:rFonts w:hint="eastAsia" w:ascii="仿宋_GB2312" w:hAnsi="ˎ̥" w:eastAsia="仿宋_GB2312"/>
          <w:sz w:val="32"/>
          <w:szCs w:val="32"/>
        </w:rPr>
        <w:t>%。</w:t>
      </w:r>
      <w:r>
        <w:rPr>
          <w:rFonts w:hint="default" w:ascii="仿宋_GB2312" w:hAnsi="仿宋_GB2312" w:eastAsia="仿宋_GB2312"/>
          <w:snapToGrid/>
          <w:sz w:val="32"/>
          <w:shd w:val="clear" w:color="auto" w:fill="FFFFFF"/>
          <w:lang w:eastAsia="zh-CN"/>
        </w:rPr>
        <w:t>主要原因</w:t>
      </w:r>
      <w:r>
        <w:rPr>
          <w:rFonts w:hint="eastAsia" w:ascii="仿宋_GB2312" w:hAnsi="仿宋_GB2312" w:eastAsia="仿宋_GB2312"/>
          <w:snapToGrid/>
          <w:sz w:val="32"/>
          <w:shd w:val="clear" w:color="auto" w:fill="FFFFFF"/>
          <w:lang w:eastAsia="zh-CN"/>
        </w:rPr>
        <w:t>：一</w:t>
      </w:r>
      <w:r>
        <w:rPr>
          <w:rFonts w:hint="default" w:ascii="仿宋_GB2312" w:hAnsi="仿宋_GB2312" w:eastAsia="仿宋_GB2312"/>
          <w:snapToGrid/>
          <w:sz w:val="32"/>
          <w:shd w:val="clear" w:color="auto" w:fill="FFFFFF"/>
          <w:lang w:eastAsia="zh-CN"/>
        </w:rPr>
        <w:t>是</w:t>
      </w:r>
      <w:r>
        <w:rPr>
          <w:rFonts w:hint="eastAsia" w:ascii="仿宋_GB2312" w:hAnsi="仿宋_GB2312" w:eastAsia="仿宋_GB2312"/>
          <w:snapToGrid/>
          <w:sz w:val="32"/>
          <w:shd w:val="clear" w:color="auto" w:fill="FFFFFF"/>
          <w:lang w:eastAsia="zh-CN"/>
        </w:rPr>
        <w:t>公务用车改革后，我院的车辆数由</w:t>
      </w:r>
      <w:r>
        <w:rPr>
          <w:rFonts w:hint="eastAsia" w:ascii="仿宋_GB2312" w:hAnsi="仿宋_GB2312" w:eastAsia="仿宋_GB2312"/>
          <w:snapToGrid/>
          <w:sz w:val="32"/>
          <w:shd w:val="clear" w:color="auto" w:fill="FFFFFF"/>
          <w:lang w:val="en-US" w:eastAsia="zh-CN"/>
        </w:rPr>
        <w:t>11辆</w:t>
      </w:r>
      <w:r>
        <w:rPr>
          <w:rFonts w:hint="eastAsia" w:ascii="仿宋_GB2312" w:hAnsi="仿宋_GB2312" w:eastAsia="仿宋_GB2312"/>
          <w:snapToGrid/>
          <w:sz w:val="32"/>
          <w:shd w:val="clear" w:color="auto" w:fill="FFFFFF"/>
          <w:lang w:eastAsia="zh-CN"/>
        </w:rPr>
        <w:t>减少至</w:t>
      </w:r>
      <w:r>
        <w:rPr>
          <w:rFonts w:hint="eastAsia" w:ascii="仿宋_GB2312" w:hAnsi="仿宋_GB2312" w:eastAsia="仿宋_GB2312"/>
          <w:snapToGrid/>
          <w:sz w:val="32"/>
          <w:shd w:val="clear" w:color="auto" w:fill="FFFFFF"/>
          <w:lang w:val="en-US" w:eastAsia="zh-CN"/>
        </w:rPr>
        <w:t>7辆，导致公务用车维修维护费及保险费用减少；</w:t>
      </w:r>
      <w:r>
        <w:rPr>
          <w:rFonts w:hint="eastAsia" w:ascii="仿宋_GB2312" w:hAnsi="ˎ̥" w:eastAsia="仿宋_GB2312"/>
          <w:sz w:val="32"/>
          <w:szCs w:val="32"/>
          <w:lang w:eastAsia="zh-CN"/>
        </w:rPr>
        <w:t>二是</w:t>
      </w:r>
      <w:r>
        <w:rPr>
          <w:rFonts w:hint="eastAsia" w:ascii="仿宋_GB2312" w:hAnsi="ˎ̥" w:eastAsia="仿宋_GB2312"/>
          <w:sz w:val="32"/>
          <w:szCs w:val="32"/>
        </w:rPr>
        <w:t>近距离办理案件及县内扶贫使用车辆，相应的燃料费、维修费有所下降。</w:t>
      </w:r>
    </w:p>
    <w:p>
      <w:pPr>
        <w:rPr>
          <w:rFonts w:hint="eastAsia" w:ascii="仿宋_GB2312" w:hAnsi="ˎ̥" w:eastAsia="仿宋_GB2312"/>
          <w:sz w:val="32"/>
          <w:szCs w:val="32"/>
        </w:rPr>
      </w:pPr>
      <w:r>
        <w:rPr>
          <w:rFonts w:hint="eastAsia" w:ascii="仿宋_GB2312" w:hAnsi="ˎ̥" w:eastAsia="仿宋_GB2312"/>
          <w:b/>
          <w:sz w:val="32"/>
          <w:szCs w:val="32"/>
        </w:rPr>
        <w:t xml:space="preserve">    3.公务接待费支出</w:t>
      </w:r>
      <w:r>
        <w:rPr>
          <w:rFonts w:hint="eastAsia" w:ascii="仿宋_GB2312" w:hAnsi="ˎ̥" w:eastAsia="仿宋_GB2312"/>
          <w:sz w:val="32"/>
          <w:szCs w:val="32"/>
          <w:lang w:val="en-US" w:eastAsia="zh-CN"/>
        </w:rPr>
        <w:t>1.29</w:t>
      </w:r>
      <w:r>
        <w:rPr>
          <w:rFonts w:hint="eastAsia" w:ascii="仿宋_GB2312" w:hAnsi="ˎ̥" w:eastAsia="仿宋_GB2312"/>
          <w:sz w:val="32"/>
          <w:szCs w:val="32"/>
        </w:rPr>
        <w:t>万元，其中：</w:t>
      </w:r>
    </w:p>
    <w:p>
      <w:pPr>
        <w:ind w:firstLine="640" w:firstLineChars="200"/>
        <w:rPr>
          <w:rFonts w:hint="eastAsia" w:ascii="仿宋_GB2312" w:hAnsi="ˎ̥" w:eastAsia="仿宋_GB2312"/>
          <w:color w:val="FF0000"/>
          <w:sz w:val="32"/>
          <w:szCs w:val="32"/>
        </w:rPr>
      </w:pPr>
      <w:r>
        <w:rPr>
          <w:rFonts w:hint="eastAsia" w:ascii="仿宋_GB2312" w:hAnsi="ˎ̥" w:eastAsia="仿宋_GB2312"/>
          <w:sz w:val="32"/>
          <w:szCs w:val="32"/>
        </w:rPr>
        <w:t>公务接待费支出决算比预算数减少</w:t>
      </w:r>
      <w:r>
        <w:rPr>
          <w:rFonts w:hint="eastAsia" w:ascii="仿宋_GB2312" w:hAnsi="ˎ̥" w:eastAsia="仿宋_GB2312"/>
          <w:sz w:val="32"/>
          <w:szCs w:val="32"/>
          <w:lang w:eastAsia="zh-CN"/>
        </w:rPr>
        <w:t>增加</w:t>
      </w:r>
      <w:r>
        <w:rPr>
          <w:rFonts w:hint="eastAsia" w:ascii="仿宋_GB2312" w:hAnsi="ˎ̥" w:eastAsia="仿宋_GB2312"/>
          <w:sz w:val="32"/>
          <w:szCs w:val="32"/>
        </w:rPr>
        <w:t>0.</w:t>
      </w:r>
      <w:r>
        <w:rPr>
          <w:rFonts w:hint="eastAsia" w:ascii="仿宋_GB2312" w:hAnsi="ˎ̥" w:eastAsia="仿宋_GB2312"/>
          <w:sz w:val="32"/>
          <w:szCs w:val="32"/>
          <w:lang w:val="en-US" w:eastAsia="zh-CN"/>
        </w:rPr>
        <w:t>09</w:t>
      </w:r>
      <w:r>
        <w:rPr>
          <w:rFonts w:hint="eastAsia" w:ascii="仿宋_GB2312" w:hAnsi="ˎ̥" w:eastAsia="仿宋_GB2312"/>
          <w:sz w:val="32"/>
          <w:szCs w:val="32"/>
        </w:rPr>
        <w:t>万元，</w:t>
      </w:r>
      <w:r>
        <w:rPr>
          <w:rFonts w:hint="eastAsia" w:ascii="仿宋_GB2312" w:hAnsi="ˎ̥" w:eastAsia="仿宋_GB2312"/>
          <w:sz w:val="32"/>
          <w:szCs w:val="32"/>
          <w:lang w:eastAsia="zh-CN"/>
        </w:rPr>
        <w:t>增长</w:t>
      </w:r>
      <w:r>
        <w:rPr>
          <w:rFonts w:hint="eastAsia" w:ascii="仿宋_GB2312" w:hAnsi="ˎ̥" w:eastAsia="仿宋_GB2312"/>
          <w:sz w:val="32"/>
          <w:szCs w:val="32"/>
          <w:lang w:val="en-US" w:eastAsia="zh-CN"/>
        </w:rPr>
        <w:t>7.75%</w:t>
      </w:r>
      <w:r>
        <w:rPr>
          <w:rFonts w:hint="eastAsia" w:ascii="仿宋_GB2312" w:hAnsi="ˎ̥" w:eastAsia="仿宋_GB2312"/>
          <w:sz w:val="32"/>
          <w:szCs w:val="32"/>
        </w:rPr>
        <w:t>。主要原因</w:t>
      </w:r>
      <w:r>
        <w:rPr>
          <w:rFonts w:hint="default" w:ascii="仿宋_GB2312" w:hAnsi="仿宋_GB2312" w:eastAsia="仿宋_GB2312"/>
          <w:snapToGrid/>
          <w:sz w:val="32"/>
          <w:shd w:val="clear" w:color="auto" w:fill="FFFFFF"/>
          <w:lang w:eastAsia="zh-CN"/>
        </w:rPr>
        <w:t>是</w:t>
      </w:r>
      <w:r>
        <w:rPr>
          <w:rFonts w:hint="eastAsia" w:ascii="仿宋_GB2312" w:hAnsi="仿宋_GB2312" w:eastAsia="仿宋_GB2312"/>
          <w:snapToGrid/>
          <w:sz w:val="32"/>
          <w:shd w:val="clear" w:color="auto" w:fill="FFFFFF"/>
          <w:lang w:eastAsia="zh-CN"/>
        </w:rPr>
        <w:t>公务接待人次数增加。</w:t>
      </w:r>
    </w:p>
    <w:p>
      <w:pPr>
        <w:ind w:firstLine="640" w:firstLineChars="200"/>
        <w:rPr>
          <w:rFonts w:hint="eastAsia" w:ascii="仿宋_GB2312" w:hAnsi="ˎ̥" w:eastAsia="仿宋_GB2312"/>
          <w:sz w:val="32"/>
          <w:szCs w:val="32"/>
        </w:rPr>
      </w:pPr>
      <w:r>
        <w:rPr>
          <w:rFonts w:hint="eastAsia" w:ascii="仿宋_GB2312" w:hAnsi="ˎ̥" w:eastAsia="仿宋_GB2312"/>
          <w:color w:val="000000"/>
          <w:sz w:val="32"/>
          <w:szCs w:val="32"/>
        </w:rPr>
        <w:t>国内接待费支出</w:t>
      </w:r>
      <w:r>
        <w:rPr>
          <w:rFonts w:hint="eastAsia" w:ascii="仿宋_GB2312" w:hAnsi="ˎ̥" w:eastAsia="仿宋_GB2312"/>
          <w:color w:val="000000"/>
          <w:sz w:val="32"/>
          <w:szCs w:val="32"/>
          <w:lang w:val="en-US" w:eastAsia="zh-CN"/>
        </w:rPr>
        <w:t>1.29</w:t>
      </w:r>
      <w:r>
        <w:rPr>
          <w:rFonts w:hint="eastAsia" w:ascii="仿宋_GB2312" w:hAnsi="ˎ̥" w:eastAsia="仿宋_GB2312"/>
          <w:color w:val="000000"/>
          <w:sz w:val="32"/>
          <w:szCs w:val="32"/>
        </w:rPr>
        <w:t>万元，国内公务接待</w:t>
      </w:r>
      <w:r>
        <w:rPr>
          <w:rFonts w:hint="eastAsia" w:ascii="仿宋_GB2312" w:hAnsi="ˎ̥" w:eastAsia="仿宋_GB2312"/>
          <w:color w:val="000000"/>
          <w:sz w:val="32"/>
          <w:szCs w:val="32"/>
          <w:lang w:val="en-US" w:eastAsia="zh-CN"/>
        </w:rPr>
        <w:t>15</w:t>
      </w:r>
      <w:r>
        <w:rPr>
          <w:rFonts w:hint="eastAsia" w:ascii="仿宋_GB2312" w:hAnsi="ˎ̥" w:eastAsia="仿宋_GB2312"/>
          <w:color w:val="000000"/>
          <w:sz w:val="32"/>
          <w:szCs w:val="32"/>
        </w:rPr>
        <w:t>批次，接待</w:t>
      </w:r>
      <w:r>
        <w:rPr>
          <w:rFonts w:hint="eastAsia" w:ascii="仿宋_GB2312" w:hAnsi="ˎ̥" w:eastAsia="仿宋_GB2312"/>
          <w:color w:val="000000"/>
          <w:sz w:val="32"/>
          <w:szCs w:val="32"/>
          <w:lang w:val="en-US" w:eastAsia="zh-CN"/>
        </w:rPr>
        <w:t>108</w:t>
      </w:r>
      <w:r>
        <w:rPr>
          <w:rFonts w:hint="eastAsia" w:ascii="仿宋_GB2312" w:hAnsi="ˎ̥" w:eastAsia="仿宋_GB2312"/>
          <w:color w:val="000000"/>
          <w:sz w:val="32"/>
          <w:szCs w:val="32"/>
        </w:rPr>
        <w:t>人次，</w:t>
      </w:r>
      <w:r>
        <w:rPr>
          <w:rFonts w:hint="eastAsia" w:ascii="仿宋_GB2312" w:hAnsi="ˎ̥" w:eastAsia="仿宋_GB2312"/>
          <w:sz w:val="32"/>
          <w:szCs w:val="32"/>
        </w:rPr>
        <w:t>主要用于</w:t>
      </w:r>
      <w:r>
        <w:rPr>
          <w:rFonts w:hint="eastAsia" w:ascii="仿宋_GB2312" w:hAnsi="仿宋" w:eastAsia="仿宋_GB2312"/>
          <w:bCs/>
          <w:sz w:val="32"/>
          <w:szCs w:val="32"/>
        </w:rPr>
        <w:t>上级院来指导</w:t>
      </w:r>
      <w:r>
        <w:rPr>
          <w:rFonts w:hint="eastAsia" w:ascii="仿宋_GB2312" w:hAnsi="仿宋" w:eastAsia="仿宋_GB2312"/>
          <w:bCs/>
          <w:sz w:val="32"/>
          <w:szCs w:val="32"/>
          <w:lang w:eastAsia="zh-CN"/>
        </w:rPr>
        <w:t>工作，</w:t>
      </w:r>
      <w:r>
        <w:rPr>
          <w:rFonts w:hint="eastAsia" w:ascii="仿宋_GB2312" w:hAnsi="仿宋" w:eastAsia="仿宋_GB2312"/>
          <w:bCs/>
          <w:sz w:val="32"/>
          <w:szCs w:val="32"/>
        </w:rPr>
        <w:t>其他院来我县办理相关案件以及工作调研的工作餐接待</w:t>
      </w:r>
      <w:r>
        <w:rPr>
          <w:rFonts w:hint="eastAsia" w:ascii="仿宋_GB2312" w:hAnsi="ˎ̥" w:eastAsia="仿宋_GB2312"/>
          <w:sz w:val="32"/>
          <w:szCs w:val="32"/>
        </w:rPr>
        <w:t>。</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九、政府性基金预算财政拨款“三公”经费支出决算情况说明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2019年度本院无政府性基金预算财政拨款“三公”经费。</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十、预算绩效情况说明。</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根据财政预算管理要求，</w:t>
      </w:r>
      <w:r>
        <w:rPr>
          <w:rFonts w:hint="eastAsia" w:ascii="仿宋_GB2312" w:eastAsia="仿宋_GB2312"/>
          <w:sz w:val="32"/>
          <w:szCs w:val="32"/>
          <w:lang w:eastAsia="zh-CN"/>
        </w:rPr>
        <w:t>昌江</w:t>
      </w:r>
      <w:r>
        <w:rPr>
          <w:rFonts w:hint="eastAsia" w:ascii="仿宋_GB2312" w:eastAsia="仿宋_GB2312"/>
          <w:sz w:val="32"/>
          <w:szCs w:val="32"/>
        </w:rPr>
        <w:t>黎族自治县人民检察院组织对2019年度一般公共预算项目支出开展了绩效自评。自评项目</w:t>
      </w:r>
      <w:r>
        <w:rPr>
          <w:rFonts w:hint="eastAsia" w:ascii="仿宋_GB2312" w:eastAsia="仿宋_GB2312"/>
          <w:sz w:val="32"/>
          <w:szCs w:val="32"/>
          <w:lang w:val="en-US" w:eastAsia="zh-CN"/>
        </w:rPr>
        <w:t>4</w:t>
      </w:r>
      <w:r>
        <w:rPr>
          <w:rFonts w:hint="eastAsia" w:ascii="仿宋_GB2312" w:eastAsia="仿宋_GB2312"/>
          <w:sz w:val="32"/>
          <w:szCs w:val="32"/>
        </w:rPr>
        <w:t>个，共涉及资金</w:t>
      </w:r>
      <w:r>
        <w:rPr>
          <w:rFonts w:hint="eastAsia" w:ascii="仿宋_GB2312" w:eastAsia="仿宋_GB2312"/>
          <w:sz w:val="32"/>
          <w:szCs w:val="32"/>
          <w:lang w:val="en-US" w:eastAsia="zh-CN"/>
        </w:rPr>
        <w:t>493.36</w:t>
      </w:r>
      <w:r>
        <w:rPr>
          <w:rFonts w:hint="eastAsia" w:ascii="仿宋_GB2312" w:eastAsia="仿宋_GB2312"/>
          <w:sz w:val="32"/>
          <w:szCs w:val="32"/>
        </w:rPr>
        <w:t>万元，自评覆盖率达到100%。</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昌江</w:t>
      </w:r>
      <w:r>
        <w:rPr>
          <w:rFonts w:hint="eastAsia" w:ascii="仿宋_GB2312" w:eastAsia="仿宋_GB2312"/>
          <w:sz w:val="32"/>
          <w:szCs w:val="32"/>
        </w:rPr>
        <w:t>黎族自治县人民检察院共组织对“综合事务”项目进行了重点绩效评价，涉及资金</w:t>
      </w:r>
      <w:r>
        <w:rPr>
          <w:rFonts w:hint="eastAsia" w:ascii="仿宋_GB2312" w:eastAsia="仿宋_GB2312"/>
          <w:sz w:val="32"/>
          <w:szCs w:val="32"/>
          <w:lang w:val="en-US" w:eastAsia="zh-CN"/>
        </w:rPr>
        <w:t>115.58</w:t>
      </w:r>
      <w:r>
        <w:rPr>
          <w:rFonts w:hint="eastAsia" w:ascii="仿宋_GB2312" w:eastAsia="仿宋_GB2312"/>
          <w:sz w:val="32"/>
          <w:szCs w:val="32"/>
        </w:rPr>
        <w:t>万元，支出</w:t>
      </w:r>
      <w:r>
        <w:rPr>
          <w:rFonts w:hint="eastAsia" w:ascii="仿宋_GB2312" w:eastAsia="仿宋_GB2312"/>
          <w:sz w:val="32"/>
          <w:szCs w:val="32"/>
          <w:lang w:val="en-US" w:eastAsia="zh-CN"/>
        </w:rPr>
        <w:t>94.55</w:t>
      </w:r>
      <w:r>
        <w:rPr>
          <w:rFonts w:hint="eastAsia" w:ascii="仿宋_GB2312" w:eastAsia="仿宋_GB2312"/>
          <w:sz w:val="32"/>
          <w:szCs w:val="32"/>
        </w:rPr>
        <w:t>万元，项目资金实际支出占预算金额的</w:t>
      </w:r>
      <w:r>
        <w:rPr>
          <w:rFonts w:hint="eastAsia" w:ascii="仿宋_GB2312" w:eastAsia="仿宋_GB2312"/>
          <w:sz w:val="32"/>
          <w:szCs w:val="32"/>
          <w:lang w:val="en-US" w:eastAsia="zh-CN"/>
        </w:rPr>
        <w:t>81.8</w:t>
      </w:r>
      <w:r>
        <w:rPr>
          <w:rFonts w:hint="eastAsia" w:ascii="仿宋_GB2312" w:eastAsia="仿宋_GB2312"/>
          <w:sz w:val="32"/>
          <w:szCs w:val="32"/>
        </w:rPr>
        <w:t>%，整体支出未超预算，该项目资金使用过程中严格按照预算批复的要求，在预算范围内使用，专款专用。在资金支付过程中，我院严格遵守财务管理规定办理支付手续，并经国库支付局会计核算站审核，确保了资金支出的合理合规性，资金使用较为规范。</w:t>
      </w:r>
    </w:p>
    <w:p>
      <w:pPr>
        <w:ind w:firstLine="640" w:firstLineChars="200"/>
        <w:rPr>
          <w:rFonts w:hint="eastAsia" w:ascii="仿宋_GB2312" w:eastAsia="仿宋_GB2312"/>
          <w:color w:val="FF0000"/>
          <w:sz w:val="32"/>
          <w:szCs w:val="32"/>
        </w:rPr>
      </w:pPr>
      <w:r>
        <w:rPr>
          <w:rFonts w:hint="eastAsia" w:ascii="仿宋_GB2312" w:eastAsia="仿宋_GB2312"/>
          <w:color w:val="000000"/>
          <w:sz w:val="32"/>
          <w:szCs w:val="32"/>
          <w:lang w:eastAsia="zh-CN"/>
        </w:rPr>
        <w:t>昌江</w:t>
      </w:r>
      <w:r>
        <w:rPr>
          <w:rFonts w:hint="eastAsia" w:ascii="仿宋_GB2312" w:eastAsia="仿宋_GB2312"/>
          <w:color w:val="000000"/>
          <w:sz w:val="32"/>
          <w:szCs w:val="32"/>
        </w:rPr>
        <w:t>黎族自治县人民检察院开展整体支出绩效评价，涉及资金</w:t>
      </w:r>
      <w:r>
        <w:rPr>
          <w:rFonts w:hint="eastAsia" w:ascii="仿宋_GB2312" w:eastAsia="仿宋_GB2312"/>
          <w:color w:val="000000"/>
          <w:sz w:val="32"/>
          <w:szCs w:val="32"/>
          <w:lang w:val="en-US" w:eastAsia="zh-CN"/>
        </w:rPr>
        <w:t>493.36</w:t>
      </w:r>
      <w:r>
        <w:rPr>
          <w:rFonts w:hint="eastAsia" w:ascii="仿宋_GB2312" w:eastAsia="仿宋_GB2312"/>
          <w:color w:val="000000"/>
          <w:sz w:val="32"/>
          <w:szCs w:val="32"/>
        </w:rPr>
        <w:t>万元。</w:t>
      </w:r>
      <w:r>
        <w:rPr>
          <w:rFonts w:hint="eastAsia" w:ascii="仿宋_GB2312" w:eastAsia="仿宋_GB2312"/>
          <w:sz w:val="32"/>
          <w:szCs w:val="32"/>
        </w:rPr>
        <w:t>绩效评价小组从投入、过程、产出和效果四个方面对部门整体支出绩效进行了具体的分析评价，综合评价等级为“良”。综合评价本院2019年度项目库职责、活动的关键性指标设定合理，日常工作具有较强的目的性与计划性；整体预算完</w:t>
      </w:r>
      <w:r>
        <w:rPr>
          <w:rFonts w:hint="eastAsia" w:ascii="仿宋_GB2312" w:eastAsia="仿宋_GB2312"/>
          <w:color w:val="000000"/>
          <w:sz w:val="32"/>
          <w:szCs w:val="32"/>
        </w:rPr>
        <w:t>成率为</w:t>
      </w:r>
      <w:r>
        <w:rPr>
          <w:rFonts w:hint="eastAsia" w:ascii="仿宋_GB2312" w:eastAsia="仿宋_GB2312"/>
          <w:color w:val="000000"/>
          <w:sz w:val="32"/>
          <w:szCs w:val="32"/>
          <w:lang w:val="en-US" w:eastAsia="zh-CN"/>
        </w:rPr>
        <w:t>81.8</w:t>
      </w:r>
      <w:r>
        <w:rPr>
          <w:rFonts w:hint="eastAsia" w:ascii="仿宋_GB2312" w:eastAsia="仿宋_GB2312"/>
          <w:color w:val="000000"/>
          <w:sz w:val="32"/>
          <w:szCs w:val="32"/>
        </w:rPr>
        <w:t>%，总体上完成了预算任务，预算支出较好；政府采购执行率100%,政府采购预算编制预见性较强。</w:t>
      </w:r>
    </w:p>
    <w:p>
      <w:pPr>
        <w:wordWrap w:val="0"/>
        <w:ind w:firstLine="627" w:firstLineChars="196"/>
        <w:rPr>
          <w:rFonts w:ascii="仿宋_GB2312" w:eastAsia="仿宋_GB2312"/>
          <w:sz w:val="32"/>
          <w:szCs w:val="32"/>
        </w:rPr>
      </w:pPr>
      <w:r>
        <w:rPr>
          <w:rFonts w:hint="eastAsia" w:ascii="仿宋_GB2312" w:eastAsia="仿宋_GB2312"/>
          <w:sz w:val="32"/>
          <w:szCs w:val="32"/>
          <w:lang w:eastAsia="zh-CN"/>
        </w:rPr>
        <w:t>昌江</w:t>
      </w:r>
      <w:r>
        <w:rPr>
          <w:rFonts w:hint="eastAsia" w:ascii="仿宋_GB2312" w:eastAsia="仿宋_GB2312"/>
          <w:sz w:val="32"/>
          <w:szCs w:val="32"/>
        </w:rPr>
        <w:t>黎族自治县人民检察院2019年财务工作规范，资金使用合规，部门基础信息完整，资产利用率得当，各项目资金进行做到专款核算，专款专用。</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（二）部门决算中项目绩效自评结果。</w:t>
      </w:r>
      <w:r>
        <w:rPr>
          <w:rFonts w:hint="eastAsia" w:ascii="仿宋_GB2312" w:eastAsia="仿宋_GB2312"/>
          <w:color w:val="FF0000"/>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综合事务项目自评得分为</w:t>
      </w:r>
      <w:r>
        <w:rPr>
          <w:rFonts w:hint="eastAsia" w:ascii="仿宋_GB2312" w:eastAsia="仿宋_GB2312"/>
          <w:sz w:val="32"/>
          <w:szCs w:val="32"/>
          <w:lang w:val="en-US" w:eastAsia="zh-CN"/>
        </w:rPr>
        <w:t>83.43</w:t>
      </w:r>
      <w:r>
        <w:rPr>
          <w:rFonts w:hint="eastAsia" w:ascii="仿宋_GB2312" w:eastAsia="仿宋_GB2312"/>
          <w:sz w:val="32"/>
          <w:szCs w:val="32"/>
        </w:rPr>
        <w:t>分。发现的主要问题及原因：由于绩效自评是一项开展不久的工作任务，项目支出运行实践经验还欠缺，相关人员配备还显不足，相关制度建设还有待进一步加强。下一步改进措施：一是不断提高预算管理人员的预算编制能力，统筹规划，科学预测，不断提高预算的预测能力，科学合理的安排预算支出；二是加强预算项目绩效管理能力的学习，在设立预算项目绩效目标时，综合考虑各方面得因素，使绩效目标得设立更加科学性、合理性、增强绩效目标的可比性。</w:t>
      </w:r>
    </w:p>
    <w:p>
      <w:pPr>
        <w:numPr>
          <w:ilvl w:val="0"/>
          <w:numId w:val="2"/>
        </w:numPr>
        <w:ind w:firstLine="643" w:firstLineChars="200"/>
        <w:rPr>
          <w:rFonts w:hint="eastAsia" w:ascii="楷体" w:hAnsi="楷体" w:eastAsia="楷体" w:cs="楷体"/>
          <w:b/>
          <w:sz w:val="32"/>
          <w:szCs w:val="32"/>
          <w:lang w:eastAsia="zh-CN"/>
        </w:rPr>
      </w:pPr>
      <w:r>
        <w:rPr>
          <w:rFonts w:hint="eastAsia" w:ascii="楷体" w:hAnsi="楷体" w:eastAsia="楷体" w:cs="楷体"/>
          <w:b/>
          <w:sz w:val="32"/>
          <w:szCs w:val="32"/>
        </w:rPr>
        <w:t>重点项目绩效评价情况。</w:t>
      </w:r>
      <w:r>
        <w:rPr>
          <w:rFonts w:hint="eastAsia" w:ascii="楷体" w:hAnsi="楷体" w:eastAsia="楷体" w:cs="楷体"/>
          <w:b/>
          <w:sz w:val="32"/>
          <w:szCs w:val="32"/>
          <w:lang w:eastAsia="zh-CN"/>
        </w:rPr>
        <w:t>（无）</w:t>
      </w:r>
    </w:p>
    <w:p>
      <w:pPr>
        <w:shd w:val="solid" w:color="FFFFFF" w:fill="auto"/>
        <w:kinsoku/>
        <w:autoSpaceDE/>
        <w:autoSpaceDN w:val="0"/>
        <w:spacing w:line="578" w:lineRule="exact"/>
        <w:ind w:firstLine="643"/>
        <w:rPr>
          <w:rFonts w:hint="default" w:ascii="宋体" w:hAnsi="宋体"/>
          <w:snapToGrid/>
          <w:sz w:val="18"/>
          <w:shd w:val="clear" w:color="auto" w:fill="FFFFFF"/>
        </w:rPr>
      </w:pPr>
      <w:r>
        <w:rPr>
          <w:rFonts w:hint="default" w:ascii="楷体" w:hAnsi="楷体" w:eastAsia="楷体"/>
          <w:b/>
          <w:snapToGrid/>
          <w:sz w:val="32"/>
          <w:shd w:val="clear" w:color="auto" w:fill="FFFFFF"/>
          <w:lang w:eastAsia="zh-CN"/>
        </w:rPr>
        <w:t>（四）其他以部门为主体开展的项目绩效评价报告（</w:t>
      </w:r>
      <w:r>
        <w:rPr>
          <w:rFonts w:hint="eastAsia" w:ascii="楷体" w:hAnsi="楷体" w:eastAsia="楷体"/>
          <w:b/>
          <w:snapToGrid/>
          <w:sz w:val="32"/>
          <w:shd w:val="clear" w:color="auto" w:fill="FFFFFF"/>
          <w:lang w:eastAsia="zh-CN"/>
        </w:rPr>
        <w:t>无</w:t>
      </w:r>
      <w:r>
        <w:rPr>
          <w:rFonts w:hint="default" w:ascii="楷体" w:hAnsi="楷体" w:eastAsia="楷体"/>
          <w:b/>
          <w:snapToGrid/>
          <w:sz w:val="32"/>
          <w:shd w:val="clear" w:color="auto" w:fill="FFFFFF"/>
          <w:lang w:eastAsia="zh-CN"/>
        </w:rPr>
        <w:t>）</w:t>
      </w:r>
    </w:p>
    <w:p>
      <w:pPr>
        <w:numPr>
          <w:numId w:val="0"/>
        </w:numPr>
        <w:rPr>
          <w:rFonts w:hint="eastAsia" w:ascii="楷体" w:hAnsi="楷体" w:eastAsia="楷体" w:cs="楷体"/>
          <w:b/>
          <w:sz w:val="32"/>
          <w:szCs w:val="32"/>
          <w:lang w:eastAsia="zh-CN"/>
        </w:rPr>
      </w:pP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十一、其他重要事项情况说明。</w:t>
      </w:r>
    </w:p>
    <w:p>
      <w:pPr>
        <w:ind w:firstLine="643" w:firstLineChars="200"/>
        <w:rPr>
          <w:rFonts w:hint="eastAsia" w:ascii="楷体" w:hAnsi="楷体" w:eastAsia="楷体" w:cs="楷体"/>
          <w:b/>
          <w:sz w:val="32"/>
          <w:szCs w:val="32"/>
        </w:rPr>
      </w:pPr>
      <w:bookmarkStart w:id="91" w:name="_Toc15262_WPSOffice_Level2"/>
      <w:bookmarkStart w:id="92" w:name="_Toc32639_WPSOffice_Level2"/>
      <w:bookmarkStart w:id="93" w:name="_Toc15565_WPSOffice_Level2"/>
      <w:bookmarkStart w:id="94" w:name="_Toc23598_WPSOffice_Level2"/>
      <w:bookmarkStart w:id="95" w:name="_Toc18325_WPSOffice_Level2"/>
      <w:bookmarkStart w:id="96" w:name="_Toc5978_WPSOffice_Level2"/>
      <w:r>
        <w:rPr>
          <w:rFonts w:hint="eastAsia" w:ascii="楷体" w:hAnsi="楷体" w:eastAsia="楷体" w:cs="楷体"/>
          <w:b/>
          <w:sz w:val="32"/>
          <w:szCs w:val="32"/>
        </w:rPr>
        <w:t>（一）机关运行经费支出情况。</w:t>
      </w:r>
      <w:bookmarkEnd w:id="91"/>
      <w:bookmarkEnd w:id="92"/>
      <w:bookmarkEnd w:id="93"/>
      <w:bookmarkEnd w:id="94"/>
      <w:bookmarkEnd w:id="95"/>
      <w:bookmarkEnd w:id="96"/>
    </w:p>
    <w:p>
      <w:pPr>
        <w:widowControl/>
        <w:shd w:val="clear" w:color="auto" w:fill="FFFFFF"/>
        <w:ind w:firstLine="640" w:firstLineChars="200"/>
        <w:rPr>
          <w:rFonts w:hint="eastAsia" w:ascii="仿宋_GB2312" w:eastAsia="仿宋_GB2312"/>
          <w:sz w:val="32"/>
          <w:szCs w:val="32"/>
        </w:rPr>
      </w:pPr>
      <w:r>
        <w:rPr>
          <w:rFonts w:hint="eastAsia" w:ascii="仿宋_GB2312" w:hAnsi="ˎ̥" w:eastAsia="仿宋_GB2312"/>
          <w:sz w:val="32"/>
          <w:szCs w:val="32"/>
        </w:rPr>
        <w:t>2019年度</w:t>
      </w:r>
      <w:r>
        <w:rPr>
          <w:rFonts w:hint="eastAsia" w:ascii="仿宋_GB2312" w:hAnsi="ˎ̥" w:eastAsia="仿宋_GB2312"/>
          <w:sz w:val="32"/>
          <w:szCs w:val="32"/>
          <w:lang w:eastAsia="zh-CN"/>
        </w:rPr>
        <w:t>昌江</w:t>
      </w:r>
      <w:r>
        <w:rPr>
          <w:rFonts w:hint="eastAsia" w:ascii="仿宋_GB2312" w:hAnsi="ˎ̥" w:eastAsia="仿宋_GB2312"/>
          <w:sz w:val="32"/>
          <w:szCs w:val="32"/>
        </w:rPr>
        <w:t>黎族自治县人民检察院机关运行经费</w:t>
      </w:r>
      <w:r>
        <w:rPr>
          <w:rFonts w:hint="eastAsia" w:ascii="仿宋_GB2312" w:hAnsi="ˎ̥" w:eastAsia="仿宋_GB2312"/>
          <w:sz w:val="32"/>
          <w:szCs w:val="32"/>
          <w:lang w:val="en-US" w:eastAsia="zh-CN"/>
        </w:rPr>
        <w:t>291.91</w:t>
      </w:r>
      <w:r>
        <w:rPr>
          <w:rFonts w:hint="eastAsia" w:ascii="仿宋_GB2312" w:hAnsi="ˎ̥" w:eastAsia="仿宋_GB2312"/>
          <w:sz w:val="32"/>
          <w:szCs w:val="32"/>
        </w:rPr>
        <w:t>万元，比2018年度增加</w:t>
      </w:r>
      <w:r>
        <w:rPr>
          <w:rFonts w:hint="eastAsia" w:ascii="仿宋_GB2312" w:hAnsi="ˎ̥" w:eastAsia="仿宋_GB2312"/>
          <w:sz w:val="32"/>
          <w:szCs w:val="32"/>
          <w:lang w:val="en-US" w:eastAsia="zh-CN"/>
        </w:rPr>
        <w:t>108.38</w:t>
      </w:r>
      <w:r>
        <w:rPr>
          <w:rFonts w:hint="eastAsia" w:ascii="仿宋_GB2312" w:hAnsi="ˎ̥" w:eastAsia="仿宋_GB2312"/>
          <w:sz w:val="32"/>
          <w:szCs w:val="32"/>
        </w:rPr>
        <w:t>万元，增长</w:t>
      </w:r>
      <w:r>
        <w:rPr>
          <w:rFonts w:hint="eastAsia" w:ascii="仿宋_GB2312" w:hAnsi="ˎ̥" w:eastAsia="仿宋_GB2312"/>
          <w:sz w:val="32"/>
          <w:szCs w:val="32"/>
          <w:lang w:val="en-US" w:eastAsia="zh-CN"/>
        </w:rPr>
        <w:t>59.05</w:t>
      </w:r>
      <w:r>
        <w:rPr>
          <w:rFonts w:hint="eastAsia" w:ascii="仿宋_GB2312" w:hAnsi="ˎ̥" w:eastAsia="仿宋_GB2312"/>
          <w:sz w:val="32"/>
          <w:szCs w:val="32"/>
        </w:rPr>
        <w:t>%。主要原因是：</w:t>
      </w:r>
      <w:bookmarkStart w:id="97" w:name="_Toc30383_WPSOffice_Level2"/>
      <w:bookmarkStart w:id="98" w:name="_Toc13084_WPSOffice_Level2"/>
      <w:bookmarkStart w:id="99" w:name="_Toc3131_WPSOffice_Level2"/>
      <w:bookmarkStart w:id="100" w:name="_Toc25333_WPSOffice_Level2"/>
      <w:bookmarkStart w:id="101" w:name="_Toc32689_WPSOffice_Level2"/>
      <w:bookmarkStart w:id="102" w:name="_Toc23966_WPSOffice_Level2"/>
      <w:r>
        <w:rPr>
          <w:rFonts w:hint="eastAsia" w:ascii="仿宋_GB2312" w:eastAsia="仿宋_GB2312"/>
          <w:sz w:val="32"/>
          <w:szCs w:val="32"/>
        </w:rPr>
        <w:t>一是本院公共安全类业务支出增加；二是我院新招录</w:t>
      </w:r>
      <w:r>
        <w:rPr>
          <w:rFonts w:hint="eastAsia" w:ascii="仿宋_GB2312" w:eastAsia="仿宋_GB2312"/>
          <w:sz w:val="32"/>
          <w:szCs w:val="32"/>
          <w:lang w:val="en-US" w:eastAsia="zh-CN"/>
        </w:rPr>
        <w:t>16</w:t>
      </w:r>
      <w:r>
        <w:rPr>
          <w:rFonts w:hint="eastAsia" w:ascii="仿宋_GB2312" w:eastAsia="仿宋_GB2312"/>
          <w:sz w:val="32"/>
          <w:szCs w:val="32"/>
        </w:rPr>
        <w:t>名聘用制书记员基础工资、社保缴费等费用</w:t>
      </w:r>
      <w:r>
        <w:rPr>
          <w:rFonts w:hint="eastAsia" w:ascii="仿宋_GB2312" w:eastAsia="仿宋_GB2312"/>
          <w:sz w:val="32"/>
          <w:szCs w:val="32"/>
          <w:lang w:eastAsia="zh-CN"/>
        </w:rPr>
        <w:t>。</w:t>
      </w:r>
    </w:p>
    <w:p>
      <w:pPr>
        <w:ind w:firstLine="643" w:firstLineChars="200"/>
        <w:rPr>
          <w:rFonts w:hint="eastAsia" w:ascii="楷体" w:hAnsi="楷体" w:eastAsia="楷体" w:cs="楷体"/>
          <w:b/>
          <w:sz w:val="32"/>
          <w:szCs w:val="32"/>
        </w:rPr>
      </w:pPr>
      <w:r>
        <w:rPr>
          <w:rFonts w:hint="eastAsia" w:ascii="楷体" w:hAnsi="楷体" w:eastAsia="楷体" w:cs="楷体"/>
          <w:b/>
          <w:sz w:val="32"/>
          <w:szCs w:val="32"/>
        </w:rPr>
        <w:t>（二）政府采购支出情况。</w:t>
      </w:r>
      <w:bookmarkEnd w:id="97"/>
      <w:bookmarkEnd w:id="98"/>
      <w:bookmarkEnd w:id="99"/>
      <w:bookmarkEnd w:id="100"/>
      <w:bookmarkEnd w:id="101"/>
      <w:bookmarkEnd w:id="102"/>
    </w:p>
    <w:p>
      <w:pPr>
        <w:ind w:firstLine="640" w:firstLineChars="200"/>
        <w:rPr>
          <w:rFonts w:hint="eastAsia" w:ascii="仿宋_GB2312" w:hAnsi="ˎ̥" w:eastAsia="仿宋_GB2312"/>
          <w:sz w:val="32"/>
          <w:szCs w:val="32"/>
        </w:rPr>
      </w:pPr>
      <w:r>
        <w:rPr>
          <w:rFonts w:hint="eastAsia" w:ascii="仿宋_GB2312" w:hAnsi="ˎ̥" w:eastAsia="仿宋_GB2312"/>
          <w:sz w:val="32"/>
          <w:szCs w:val="32"/>
        </w:rPr>
        <w:t>2019年度</w:t>
      </w:r>
      <w:r>
        <w:rPr>
          <w:rFonts w:hint="eastAsia" w:ascii="仿宋_GB2312" w:hAnsi="ˎ̥" w:eastAsia="仿宋_GB2312"/>
          <w:sz w:val="32"/>
          <w:szCs w:val="32"/>
          <w:lang w:eastAsia="zh-CN"/>
        </w:rPr>
        <w:t>昌江</w:t>
      </w:r>
      <w:r>
        <w:rPr>
          <w:rFonts w:hint="eastAsia" w:ascii="仿宋_GB2312" w:hAnsi="ˎ̥" w:eastAsia="仿宋_GB2312"/>
          <w:sz w:val="32"/>
          <w:szCs w:val="32"/>
        </w:rPr>
        <w:t>黎族自治县人民检察院政府采购支出总额2</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22</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2.22</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p>
    <w:p>
      <w:pPr>
        <w:ind w:firstLine="643" w:firstLineChars="200"/>
        <w:rPr>
          <w:rFonts w:hint="eastAsia" w:ascii="楷体" w:hAnsi="楷体" w:eastAsia="楷体" w:cs="楷体"/>
          <w:b/>
          <w:sz w:val="32"/>
          <w:szCs w:val="32"/>
        </w:rPr>
      </w:pPr>
      <w:bookmarkStart w:id="103" w:name="_Toc6016_WPSOffice_Level2"/>
      <w:bookmarkStart w:id="104" w:name="_Toc19989_WPSOffice_Level2"/>
      <w:bookmarkStart w:id="105" w:name="_Toc29584_WPSOffice_Level2"/>
      <w:bookmarkStart w:id="106" w:name="_Toc527_WPSOffice_Level2"/>
      <w:bookmarkStart w:id="107" w:name="_Toc10902_WPSOffice_Level2"/>
      <w:bookmarkStart w:id="108" w:name="_Toc15129_WPSOffice_Level2"/>
      <w:r>
        <w:rPr>
          <w:rFonts w:hint="eastAsia" w:ascii="楷体" w:hAnsi="楷体" w:eastAsia="楷体" w:cs="楷体"/>
          <w:b/>
          <w:sz w:val="32"/>
          <w:szCs w:val="32"/>
        </w:rPr>
        <w:t>（三）国有资产占用情况。</w:t>
      </w:r>
      <w:bookmarkEnd w:id="103"/>
      <w:bookmarkEnd w:id="104"/>
      <w:bookmarkEnd w:id="105"/>
      <w:bookmarkEnd w:id="106"/>
      <w:bookmarkEnd w:id="107"/>
      <w:bookmarkEnd w:id="108"/>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截至2019年度12月31日，本院占用房屋面积</w:t>
      </w:r>
      <w:r>
        <w:rPr>
          <w:rFonts w:hint="eastAsia" w:ascii="仿宋_GB2312" w:hAnsi="ˎ̥" w:eastAsia="仿宋_GB2312"/>
          <w:sz w:val="32"/>
          <w:szCs w:val="32"/>
          <w:lang w:val="en-US" w:eastAsia="zh-CN"/>
        </w:rPr>
        <w:t>31570.63</w:t>
      </w:r>
      <w:r>
        <w:rPr>
          <w:rFonts w:hint="eastAsia" w:ascii="仿宋_GB2312" w:hAnsi="ˎ̥" w:eastAsia="仿宋_GB2312"/>
          <w:sz w:val="32"/>
          <w:szCs w:val="32"/>
        </w:rPr>
        <w:t>平方米，其中：办公用房</w:t>
      </w:r>
      <w:r>
        <w:rPr>
          <w:rFonts w:hint="eastAsia" w:ascii="仿宋_GB2312" w:hAnsi="ˎ̥" w:eastAsia="仿宋_GB2312"/>
          <w:sz w:val="32"/>
          <w:szCs w:val="32"/>
          <w:lang w:val="en-US" w:eastAsia="zh-CN"/>
        </w:rPr>
        <w:t>2068</w:t>
      </w:r>
      <w:r>
        <w:rPr>
          <w:rFonts w:hint="eastAsia" w:ascii="仿宋_GB2312" w:hAnsi="ˎ̥" w:eastAsia="仿宋_GB2312"/>
          <w:sz w:val="32"/>
          <w:szCs w:val="32"/>
        </w:rPr>
        <w:t>平方米，</w:t>
      </w:r>
      <w:r>
        <w:rPr>
          <w:rFonts w:hint="eastAsia" w:ascii="仿宋_GB2312" w:hAnsi="ˎ̥" w:eastAsia="仿宋_GB2312"/>
          <w:sz w:val="32"/>
          <w:szCs w:val="32"/>
          <w:lang w:eastAsia="zh-CN"/>
        </w:rPr>
        <w:t>业务用房</w:t>
      </w:r>
      <w:r>
        <w:rPr>
          <w:rFonts w:hint="eastAsia" w:ascii="仿宋_GB2312" w:hAnsi="ˎ̥" w:eastAsia="仿宋_GB2312"/>
          <w:sz w:val="32"/>
          <w:szCs w:val="32"/>
          <w:lang w:val="en-US" w:eastAsia="zh-CN"/>
        </w:rPr>
        <w:t>4800平方米，</w:t>
      </w:r>
      <w:r>
        <w:rPr>
          <w:rFonts w:hint="eastAsia" w:ascii="仿宋_GB2312" w:hAnsi="ˎ̥" w:eastAsia="仿宋_GB2312"/>
          <w:sz w:val="32"/>
          <w:szCs w:val="32"/>
        </w:rPr>
        <w:t>其他（不含构筑物）</w:t>
      </w:r>
      <w:r>
        <w:rPr>
          <w:rFonts w:hint="eastAsia" w:ascii="仿宋_GB2312" w:hAnsi="ˎ̥" w:eastAsia="仿宋_GB2312"/>
          <w:sz w:val="32"/>
          <w:szCs w:val="32"/>
          <w:lang w:val="en-US" w:eastAsia="zh-CN"/>
        </w:rPr>
        <w:t>24702,.63</w:t>
      </w:r>
      <w:r>
        <w:rPr>
          <w:rFonts w:hint="eastAsia" w:ascii="仿宋_GB2312" w:hAnsi="ˎ̥" w:eastAsia="仿宋_GB2312"/>
          <w:sz w:val="32"/>
          <w:szCs w:val="32"/>
        </w:rPr>
        <w:t>平方米。</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本院共有车辆</w:t>
      </w:r>
      <w:r>
        <w:rPr>
          <w:rFonts w:hint="eastAsia" w:ascii="仿宋_GB2312" w:hAnsi="ˎ̥" w:eastAsia="仿宋_GB2312"/>
          <w:sz w:val="32"/>
          <w:szCs w:val="32"/>
          <w:lang w:val="en-US" w:eastAsia="zh-CN"/>
        </w:rPr>
        <w:t>7</w:t>
      </w:r>
      <w:r>
        <w:rPr>
          <w:rFonts w:hint="eastAsia" w:ascii="仿宋_GB2312" w:hAnsi="ˎ̥" w:eastAsia="仿宋_GB2312"/>
          <w:sz w:val="32"/>
          <w:szCs w:val="32"/>
        </w:rPr>
        <w:t>辆，其中，机要通道、应急公务车1辆、一般执法执勤用车</w:t>
      </w:r>
      <w:r>
        <w:rPr>
          <w:rFonts w:hint="eastAsia" w:ascii="仿宋_GB2312" w:hAnsi="ˎ̥" w:eastAsia="仿宋_GB2312"/>
          <w:sz w:val="32"/>
          <w:szCs w:val="32"/>
          <w:lang w:val="en-US" w:eastAsia="zh-CN"/>
        </w:rPr>
        <w:t>6</w:t>
      </w:r>
      <w:r>
        <w:rPr>
          <w:rFonts w:hint="eastAsia" w:ascii="仿宋_GB2312" w:hAnsi="ˎ̥" w:eastAsia="仿宋_GB2312"/>
          <w:sz w:val="32"/>
          <w:szCs w:val="32"/>
        </w:rPr>
        <w:t>辆；本院无单位价值50万元以上通用设备，单价100万元以上专用设备。</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本院无单位价值50万元（含）以上通用设备及单位价值100万元（含）以上专用设备。</w:t>
      </w:r>
    </w:p>
    <w:p>
      <w:pPr>
        <w:spacing w:line="578" w:lineRule="exact"/>
        <w:rPr>
          <w:rFonts w:hint="eastAsia" w:ascii="仿宋_GB2312" w:hAnsi="ˎ̥" w:eastAsia="仿宋_GB2312"/>
          <w:sz w:val="32"/>
          <w:szCs w:val="32"/>
        </w:rPr>
      </w:pPr>
    </w:p>
    <w:p>
      <w:pPr>
        <w:jc w:val="both"/>
        <w:rPr>
          <w:rFonts w:hint="eastAsia" w:ascii="黑体" w:hAnsi="ˎ̥" w:eastAsia="黑体"/>
          <w:sz w:val="32"/>
          <w:szCs w:val="32"/>
        </w:rPr>
      </w:pPr>
      <w:bookmarkStart w:id="109" w:name="_Toc17580_WPSOffice_Level1"/>
      <w:bookmarkStart w:id="110" w:name="_Toc4398_WPSOffice_Level1"/>
      <w:bookmarkStart w:id="111" w:name="_Toc8808_WPSOffice_Level1"/>
      <w:bookmarkStart w:id="112" w:name="_Toc11039_WPSOffice_Level1"/>
      <w:bookmarkStart w:id="113" w:name="_Toc8874_WPSOffice_Level1"/>
      <w:bookmarkStart w:id="114" w:name="_Toc15425_WPSOffice_Level1"/>
      <w:r>
        <w:rPr>
          <w:rFonts w:hint="eastAsia" w:ascii="黑体" w:hAnsi="ˎ̥" w:eastAsia="黑体"/>
          <w:sz w:val="32"/>
          <w:szCs w:val="32"/>
          <w:lang w:val="en-US" w:eastAsia="zh-CN"/>
        </w:rPr>
        <w:t xml:space="preserve">                 </w:t>
      </w:r>
      <w:r>
        <w:rPr>
          <w:rFonts w:hint="eastAsia" w:ascii="黑体" w:hAnsi="ˎ̥" w:eastAsia="黑体"/>
          <w:sz w:val="32"/>
          <w:szCs w:val="32"/>
        </w:rPr>
        <w:t>第四部分  名词解释</w:t>
      </w:r>
      <w:bookmarkEnd w:id="109"/>
      <w:bookmarkEnd w:id="110"/>
      <w:bookmarkEnd w:id="111"/>
      <w:bookmarkEnd w:id="112"/>
      <w:bookmarkEnd w:id="113"/>
      <w:bookmarkEnd w:id="114"/>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黑体">
    <w:panose1 w:val="02010609060101010101"/>
    <w:charset w:val="86"/>
    <w:family w:val="decorative"/>
    <w:pitch w:val="default"/>
    <w:sig w:usb0="800002BF" w:usb1="38CF7CFA" w:usb2="00000016" w:usb3="00000000" w:csb0="00040001" w:csb1="00000000"/>
  </w:font>
  <w:font w:name="ˎ̥">
    <w:altName w:val="Times New Roman"/>
    <w:panose1 w:val="00000000000000000000"/>
    <w:charset w:val="00"/>
    <w:family w:val="swiss"/>
    <w:pitch w:val="default"/>
    <w:sig w:usb0="00000000" w:usb1="00000000" w:usb2="00000000"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003F01FF"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roman"/>
    <w:pitch w:val="default"/>
    <w:sig w:usb0="800002BF" w:usb1="38CF7CFA" w:usb2="00000016"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Arial Unicode MS">
    <w:altName w:val="宋体"/>
    <w:panose1 w:val="020B0604020202020204"/>
    <w:charset w:val="86"/>
    <w:family w:val="modern"/>
    <w:pitch w:val="default"/>
    <w:sig w:usb0="00000000" w:usb1="00000000" w:usb2="0000003F" w:usb3="00000000" w:csb0="003F01FF"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Arial Unicode MS">
    <w:altName w:val="宋体"/>
    <w:panose1 w:val="020B0604020202020204"/>
    <w:charset w:val="86"/>
    <w:family w:val="decorative"/>
    <w:pitch w:val="default"/>
    <w:sig w:usb0="00000000" w:usb1="00000000" w:usb2="0000003F" w:usb3="00000000" w:csb0="003F01FF"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9042655">
    <w:nsid w:val="5F4F745F"/>
    <w:multiLevelType w:val="singleLevel"/>
    <w:tmpl w:val="5F4F745F"/>
    <w:lvl w:ilvl="0" w:tentative="1">
      <w:start w:val="3"/>
      <w:numFmt w:val="chineseCounting"/>
      <w:suff w:val="nothing"/>
      <w:lvlText w:val="（%1）"/>
      <w:lvlJc w:val="left"/>
    </w:lvl>
  </w:abstractNum>
  <w:abstractNum w:abstractNumId="1599036101">
    <w:nsid w:val="5F4F5AC5"/>
    <w:multiLevelType w:val="singleLevel"/>
    <w:tmpl w:val="5F4F5AC5"/>
    <w:lvl w:ilvl="0" w:tentative="1">
      <w:start w:val="1"/>
      <w:numFmt w:val="chineseCounting"/>
      <w:suff w:val="nothing"/>
      <w:lvlText w:val="%1、"/>
      <w:lvlJc w:val="left"/>
    </w:lvl>
  </w:abstractNum>
  <w:num w:numId="1">
    <w:abstractNumId w:val="1599036101"/>
  </w:num>
  <w:num w:numId="2">
    <w:abstractNumId w:val="15990426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70241"/>
    <w:rsid w:val="03672523"/>
    <w:rsid w:val="03BC1B12"/>
    <w:rsid w:val="070F31A6"/>
    <w:rsid w:val="17336374"/>
    <w:rsid w:val="197318BB"/>
    <w:rsid w:val="45305FCB"/>
    <w:rsid w:val="55A702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WPSOffice手动目录 1"/>
    <w:qFormat/>
    <w:uiPriority w:val="0"/>
    <w:rPr>
      <w:rFonts w:asciiTheme="minorHAnsi" w:hAnsiTheme="minorHAnsi" w:eastAsiaTheme="minorEastAsia" w:cstheme="minorBidi"/>
      <w:sz w:val="21"/>
      <w:szCs w:val="22"/>
      <w:lang w:val="en-US" w:eastAsia="zh-CN" w:bidi="ar-SA"/>
    </w:rPr>
  </w:style>
  <w:style w:type="paragraph" w:customStyle="1" w:styleId="5">
    <w:name w:val="WPSOffice手动目录 2"/>
    <w:qFormat/>
    <w:uiPriority w:val="0"/>
    <w:pPr>
      <w:ind w:leftChars="200"/>
    </w:pPr>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2020-09-02T03:08:00Z</dcterms:created>
  <dc:creator>Administrator</dc:creator>
  <cp:lastModifiedBy>Administrator</cp:lastModifiedBy>
  <dcterms:modified xsi:type="dcterms:W3CDTF">2020-09-02T10:39:32Z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