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财政支出项目绩效评价报告</w:t>
      </w:r>
    </w:p>
    <w:p>
      <w:pPr>
        <w:rPr>
          <w:rFonts w:eastAsia="黑体"/>
          <w:szCs w:val="32"/>
        </w:rPr>
      </w:pPr>
    </w:p>
    <w:p>
      <w:pPr>
        <w:rPr>
          <w:rFonts w:eastAsia="黑体"/>
          <w:szCs w:val="32"/>
        </w:rPr>
      </w:pPr>
    </w:p>
    <w:p>
      <w:pPr>
        <w:rPr>
          <w:rFonts w:ascii="宋体" w:hAnsi="宋体" w:eastAsia="宋体"/>
          <w:szCs w:val="32"/>
        </w:rPr>
      </w:pPr>
    </w:p>
    <w:p>
      <w:pPr>
        <w:rPr>
          <w:rFonts w:ascii="宋体" w:hAnsi="宋体" w:eastAsia="宋体"/>
          <w:szCs w:val="32"/>
        </w:rPr>
      </w:pPr>
    </w:p>
    <w:p>
      <w:pPr>
        <w:rPr>
          <w:rFonts w:hAnsi="宋体"/>
          <w:szCs w:val="32"/>
          <w:u w:val="single"/>
        </w:rPr>
      </w:pPr>
      <w:r>
        <w:rPr>
          <w:rFonts w:hint="eastAsia" w:ascii="宋体" w:hAnsi="宋体" w:eastAsia="宋体"/>
          <w:szCs w:val="32"/>
        </w:rPr>
        <w:t xml:space="preserve">    </w:t>
      </w:r>
      <w:r>
        <w:rPr>
          <w:rFonts w:hint="eastAsia" w:hAnsi="宋体"/>
          <w:szCs w:val="32"/>
        </w:rPr>
        <w:t xml:space="preserve"> 评价类型：</w:t>
      </w:r>
      <w:r>
        <w:rPr>
          <w:rFonts w:hint="eastAsia" w:hAnsi="宋体"/>
          <w:spacing w:val="-20"/>
          <w:szCs w:val="32"/>
          <w:u w:val="single"/>
        </w:rPr>
        <w:t>□</w:t>
      </w:r>
      <w:r>
        <w:rPr>
          <w:rFonts w:hint="eastAsia" w:hAnsi="宋体"/>
          <w:szCs w:val="32"/>
          <w:u w:val="single"/>
        </w:rPr>
        <w:t>实施过程评价</w:t>
      </w:r>
      <w:r>
        <w:rPr>
          <w:rFonts w:hint="eastAsia" w:hAnsi="宋体"/>
          <w:szCs w:val="32"/>
        </w:rPr>
        <w:t xml:space="preserve">      </w:t>
      </w:r>
      <w:r>
        <w:rPr>
          <w:rFonts w:hint="eastAsia" w:ascii="宋体" w:hAnsi="宋体"/>
          <w:szCs w:val="21"/>
          <w:u w:val="single"/>
          <w:bdr w:val="single" w:color="auto" w:sz="4" w:space="0"/>
        </w:rPr>
        <w:t>√</w:t>
      </w:r>
      <w:r>
        <w:rPr>
          <w:rFonts w:hint="eastAsia" w:hAnsi="宋体"/>
          <w:szCs w:val="32"/>
          <w:u w:val="single"/>
        </w:rPr>
        <w:t>完成结果评价</w:t>
      </w:r>
    </w:p>
    <w:p>
      <w:pPr>
        <w:ind w:left="1600" w:hanging="1600" w:hangingChars="500"/>
        <w:rPr>
          <w:rFonts w:hAnsi="宋体"/>
          <w:szCs w:val="32"/>
        </w:rPr>
      </w:pPr>
      <w:r>
        <w:rPr>
          <w:rFonts w:hint="eastAsia" w:hAnsi="宋体"/>
          <w:szCs w:val="32"/>
        </w:rPr>
        <w:t xml:space="preserve">     项目名称： </w:t>
      </w:r>
      <w:r>
        <w:rPr>
          <w:rFonts w:hint="eastAsia" w:hAnsi="宋体"/>
          <w:szCs w:val="32"/>
          <w:u w:val="single"/>
        </w:rPr>
        <w:t xml:space="preserve">    </w:t>
      </w:r>
      <w:r>
        <w:rPr>
          <w:rFonts w:hint="eastAsia" w:hAnsi="宋体"/>
          <w:szCs w:val="32"/>
          <w:u w:val="single"/>
          <w:lang w:eastAsia="zh-CN"/>
        </w:rPr>
        <w:t>行政运行</w:t>
      </w:r>
      <w:r>
        <w:rPr>
          <w:rFonts w:hint="eastAsia" w:hAnsi="宋体"/>
          <w:szCs w:val="32"/>
          <w:u w:val="single"/>
        </w:rPr>
        <w:t xml:space="preserve">                                </w:t>
      </w:r>
    </w:p>
    <w:p>
      <w:pPr>
        <w:ind w:left="1600" w:hanging="1600" w:hangingChars="500"/>
        <w:rPr>
          <w:rFonts w:hAnsi="宋体"/>
          <w:szCs w:val="32"/>
        </w:rPr>
      </w:pPr>
      <w:r>
        <w:rPr>
          <w:rFonts w:hint="eastAsia" w:hAnsi="宋体"/>
          <w:szCs w:val="32"/>
        </w:rPr>
        <w:t xml:space="preserve">     项目单位： </w:t>
      </w:r>
      <w:r>
        <w:rPr>
          <w:rFonts w:hint="eastAsia" w:hAnsi="宋体"/>
          <w:szCs w:val="32"/>
          <w:u w:val="single"/>
        </w:rPr>
        <w:t xml:space="preserve">  </w:t>
      </w:r>
      <w:r>
        <w:rPr>
          <w:rFonts w:hint="eastAsia" w:hAnsi="宋体"/>
          <w:szCs w:val="32"/>
          <w:u w:val="single"/>
          <w:lang w:val="en-US" w:eastAsia="zh-CN"/>
        </w:rPr>
        <w:t>昌江</w:t>
      </w:r>
      <w:r>
        <w:rPr>
          <w:rFonts w:hint="eastAsia" w:hAnsi="宋体"/>
          <w:szCs w:val="32"/>
          <w:u w:val="single"/>
        </w:rPr>
        <w:t xml:space="preserve">黎族自治县人民检察院                                  </w:t>
      </w:r>
    </w:p>
    <w:p>
      <w:pPr>
        <w:ind w:left="1600" w:hanging="1600" w:hangingChars="500"/>
        <w:rPr>
          <w:rFonts w:hAnsi="宋体"/>
          <w:szCs w:val="32"/>
        </w:rPr>
      </w:pPr>
      <w:r>
        <w:rPr>
          <w:rFonts w:hint="eastAsia" w:hAnsi="宋体"/>
          <w:szCs w:val="32"/>
        </w:rPr>
        <w:t xml:space="preserve">     主管部门： </w:t>
      </w:r>
      <w:r>
        <w:rPr>
          <w:rFonts w:hint="eastAsia" w:hAnsi="宋体"/>
          <w:szCs w:val="32"/>
          <w:u w:val="single"/>
        </w:rPr>
        <w:t xml:space="preserve">   海南省人民检察院                                 </w:t>
      </w:r>
    </w:p>
    <w:p>
      <w:pPr>
        <w:ind w:left="1600" w:hanging="1600" w:hangingChars="500"/>
        <w:rPr>
          <w:rFonts w:hAnsi="宋体"/>
          <w:szCs w:val="32"/>
        </w:rPr>
      </w:pPr>
      <w:r>
        <w:rPr>
          <w:rFonts w:hint="eastAsia" w:hAnsi="宋体"/>
          <w:szCs w:val="32"/>
        </w:rPr>
        <w:t xml:space="preserve">     评价时间： </w:t>
      </w:r>
      <w:r>
        <w:rPr>
          <w:rFonts w:hint="eastAsia" w:hAnsi="宋体"/>
          <w:szCs w:val="32"/>
          <w:u w:val="single"/>
        </w:rPr>
        <w:t>202</w:t>
      </w:r>
      <w:r>
        <w:rPr>
          <w:rFonts w:hint="eastAsia" w:hAnsi="宋体"/>
          <w:szCs w:val="32"/>
          <w:u w:val="single"/>
          <w:lang w:val="en-US" w:eastAsia="zh-CN"/>
        </w:rPr>
        <w:t>3</w:t>
      </w:r>
      <w:r>
        <w:rPr>
          <w:rFonts w:hint="eastAsia" w:hAnsi="宋体"/>
          <w:szCs w:val="32"/>
          <w:u w:val="single"/>
        </w:rPr>
        <w:t xml:space="preserve">年 </w:t>
      </w:r>
      <w:r>
        <w:rPr>
          <w:rFonts w:hint="eastAsia" w:hAnsi="宋体"/>
          <w:szCs w:val="32"/>
          <w:u w:val="single"/>
          <w:lang w:val="en-US" w:eastAsia="zh-CN"/>
        </w:rPr>
        <w:t>5</w:t>
      </w:r>
      <w:r>
        <w:rPr>
          <w:rFonts w:hint="eastAsia" w:hAnsi="宋体"/>
          <w:szCs w:val="32"/>
          <w:u w:val="single"/>
        </w:rPr>
        <w:t>月</w:t>
      </w:r>
      <w:r>
        <w:rPr>
          <w:rFonts w:hint="eastAsia" w:hAnsi="宋体"/>
          <w:szCs w:val="32"/>
          <w:u w:val="single"/>
          <w:lang w:val="en-US" w:eastAsia="zh-CN"/>
        </w:rPr>
        <w:t>8</w:t>
      </w:r>
      <w:r>
        <w:rPr>
          <w:rFonts w:hint="eastAsia" w:hAnsi="宋体"/>
          <w:szCs w:val="32"/>
          <w:u w:val="single"/>
        </w:rPr>
        <w:t>日至 202</w:t>
      </w:r>
      <w:r>
        <w:rPr>
          <w:rFonts w:hint="eastAsia" w:hAnsi="宋体"/>
          <w:szCs w:val="32"/>
          <w:u w:val="single"/>
          <w:lang w:val="en-US" w:eastAsia="zh-CN"/>
        </w:rPr>
        <w:t>3</w:t>
      </w:r>
      <w:r>
        <w:rPr>
          <w:rFonts w:hint="eastAsia" w:hAnsi="宋体"/>
          <w:szCs w:val="32"/>
          <w:u w:val="single"/>
        </w:rPr>
        <w:t>年</w:t>
      </w:r>
      <w:r>
        <w:rPr>
          <w:rFonts w:hint="eastAsia" w:hAnsi="宋体"/>
          <w:szCs w:val="32"/>
          <w:u w:val="single"/>
          <w:lang w:val="en-US" w:eastAsia="zh-CN"/>
        </w:rPr>
        <w:t>5</w:t>
      </w:r>
      <w:r>
        <w:rPr>
          <w:rFonts w:hint="eastAsia" w:hAnsi="宋体"/>
          <w:szCs w:val="32"/>
          <w:u w:val="single"/>
        </w:rPr>
        <w:t>月</w:t>
      </w:r>
      <w:r>
        <w:rPr>
          <w:rFonts w:hint="eastAsia" w:hAnsi="宋体"/>
          <w:szCs w:val="32"/>
          <w:u w:val="single"/>
          <w:lang w:val="en-US" w:eastAsia="zh-CN"/>
        </w:rPr>
        <w:t>31</w:t>
      </w:r>
      <w:r>
        <w:rPr>
          <w:rFonts w:hint="eastAsia" w:hAnsi="宋体"/>
          <w:szCs w:val="32"/>
          <w:u w:val="single"/>
        </w:rPr>
        <w:t>日</w:t>
      </w:r>
    </w:p>
    <w:p>
      <w:pPr>
        <w:ind w:left="1600" w:hanging="1600" w:hangingChars="500"/>
        <w:rPr>
          <w:rFonts w:hAnsi="宋体"/>
          <w:szCs w:val="32"/>
          <w:u w:val="single"/>
        </w:rPr>
      </w:pPr>
      <w:r>
        <w:rPr>
          <w:rFonts w:hint="eastAsia" w:hAnsi="宋体"/>
          <w:szCs w:val="32"/>
        </w:rPr>
        <w:t xml:space="preserve">     组织方式：</w:t>
      </w:r>
      <w:r>
        <w:rPr>
          <w:rFonts w:hint="eastAsia" w:hAnsi="宋体"/>
          <w:spacing w:val="-20"/>
          <w:szCs w:val="32"/>
          <w:u w:val="single"/>
        </w:rPr>
        <w:t>□</w:t>
      </w:r>
      <w:r>
        <w:rPr>
          <w:rFonts w:hint="eastAsia" w:hAnsi="宋体"/>
          <w:szCs w:val="32"/>
          <w:u w:val="single"/>
        </w:rPr>
        <w:t xml:space="preserve">财政部门 </w:t>
      </w:r>
      <w:r>
        <w:rPr>
          <w:rFonts w:hint="eastAsia" w:hAnsi="宋体"/>
          <w:szCs w:val="32"/>
        </w:rPr>
        <w:t xml:space="preserve">    </w:t>
      </w:r>
      <w:r>
        <w:rPr>
          <w:rFonts w:hint="eastAsia" w:hAnsi="宋体"/>
          <w:spacing w:val="-20"/>
          <w:szCs w:val="32"/>
          <w:u w:val="single"/>
        </w:rPr>
        <w:t>□</w:t>
      </w:r>
      <w:r>
        <w:rPr>
          <w:rFonts w:hint="eastAsia" w:hAnsi="宋体"/>
          <w:szCs w:val="32"/>
          <w:u w:val="single"/>
        </w:rPr>
        <w:t>主管部门</w:t>
      </w:r>
      <w:r>
        <w:rPr>
          <w:rFonts w:hint="eastAsia" w:hAnsi="宋体"/>
          <w:szCs w:val="32"/>
        </w:rPr>
        <w:t xml:space="preserve">     </w:t>
      </w:r>
      <w:r>
        <w:rPr>
          <w:rFonts w:hint="eastAsia" w:ascii="宋体" w:hAnsi="宋体"/>
          <w:szCs w:val="21"/>
          <w:u w:val="single"/>
          <w:bdr w:val="single" w:color="auto" w:sz="4" w:space="0"/>
        </w:rPr>
        <w:t>√</w:t>
      </w:r>
      <w:r>
        <w:rPr>
          <w:rFonts w:hint="eastAsia" w:hAnsi="宋体"/>
          <w:szCs w:val="32"/>
          <w:u w:val="single"/>
        </w:rPr>
        <w:t>项目单位</w:t>
      </w:r>
    </w:p>
    <w:p>
      <w:pPr>
        <w:ind w:left="1600" w:hanging="1600" w:hangingChars="500"/>
        <w:rPr>
          <w:rFonts w:hAnsi="宋体"/>
          <w:szCs w:val="32"/>
        </w:rPr>
      </w:pPr>
      <w:r>
        <w:rPr>
          <w:rFonts w:hint="eastAsia" w:hAnsi="宋体"/>
          <w:szCs w:val="32"/>
        </w:rPr>
        <w:t xml:space="preserve">     评价机构：</w:t>
      </w:r>
      <w:r>
        <w:rPr>
          <w:rFonts w:hint="eastAsia" w:hAnsi="宋体"/>
          <w:spacing w:val="-20"/>
          <w:szCs w:val="32"/>
          <w:u w:val="single"/>
        </w:rPr>
        <w:t>□</w:t>
      </w:r>
      <w:r>
        <w:rPr>
          <w:rFonts w:hint="eastAsia" w:hAnsi="宋体"/>
          <w:szCs w:val="32"/>
          <w:u w:val="single"/>
        </w:rPr>
        <w:t xml:space="preserve">中介机构 </w:t>
      </w:r>
      <w:r>
        <w:rPr>
          <w:rFonts w:hint="eastAsia" w:hAnsi="宋体"/>
          <w:szCs w:val="32"/>
        </w:rPr>
        <w:t xml:space="preserve">    </w:t>
      </w:r>
      <w:r>
        <w:rPr>
          <w:rFonts w:hint="eastAsia" w:hAnsi="宋体"/>
          <w:spacing w:val="-20"/>
          <w:szCs w:val="32"/>
          <w:u w:val="single"/>
        </w:rPr>
        <w:t>□</w:t>
      </w:r>
      <w:r>
        <w:rPr>
          <w:rFonts w:hint="eastAsia" w:hAnsi="宋体"/>
          <w:szCs w:val="32"/>
          <w:u w:val="single"/>
        </w:rPr>
        <w:t xml:space="preserve">专家组 </w:t>
      </w:r>
      <w:r>
        <w:rPr>
          <w:rFonts w:hint="eastAsia" w:hAnsi="宋体"/>
          <w:szCs w:val="32"/>
        </w:rPr>
        <w:t xml:space="preserve">  </w:t>
      </w:r>
      <w:r>
        <w:rPr>
          <w:rFonts w:hint="eastAsia" w:ascii="宋体" w:hAnsi="宋体"/>
          <w:szCs w:val="21"/>
          <w:u w:val="single"/>
          <w:bdr w:val="single" w:color="auto" w:sz="4" w:space="0"/>
        </w:rPr>
        <w:t>√</w:t>
      </w:r>
      <w:r>
        <w:rPr>
          <w:rFonts w:hint="eastAsia" w:hAnsi="宋体"/>
          <w:szCs w:val="32"/>
          <w:u w:val="single"/>
        </w:rPr>
        <w:t>项目单位评价组</w:t>
      </w:r>
    </w:p>
    <w:p>
      <w:pPr>
        <w:ind w:left="1600" w:hanging="1600" w:hangingChars="500"/>
        <w:rPr>
          <w:rFonts w:hAnsi="宋体"/>
          <w:szCs w:val="32"/>
        </w:rPr>
      </w:pPr>
    </w:p>
    <w:p>
      <w:pPr>
        <w:rPr>
          <w:rFonts w:hAnsi="仿宋_GB2312"/>
          <w:szCs w:val="32"/>
        </w:rPr>
      </w:pPr>
    </w:p>
    <w:p>
      <w:pPr>
        <w:rPr>
          <w:rFonts w:hAnsi="仿宋_GB2312"/>
          <w:szCs w:val="32"/>
        </w:rPr>
      </w:pPr>
    </w:p>
    <w:p>
      <w:pPr>
        <w:ind w:left="1600" w:hanging="1600" w:hangingChars="500"/>
        <w:rPr>
          <w:rFonts w:hAnsi="宋体"/>
          <w:szCs w:val="32"/>
        </w:rPr>
      </w:pPr>
      <w:r>
        <w:rPr>
          <w:rFonts w:hint="eastAsia" w:hAnsi="仿宋_GB2312"/>
          <w:szCs w:val="32"/>
        </w:rPr>
        <w:t xml:space="preserve">           </w:t>
      </w:r>
      <w:r>
        <w:rPr>
          <w:rFonts w:hint="eastAsia" w:hAnsi="宋体"/>
          <w:szCs w:val="32"/>
        </w:rPr>
        <w:t>评价单位（盖章）：</w:t>
      </w:r>
      <w:r>
        <w:rPr>
          <w:rFonts w:hint="eastAsia" w:hAnsi="宋体"/>
          <w:szCs w:val="32"/>
          <w:lang w:eastAsia="zh-CN"/>
        </w:rPr>
        <w:t>昌江</w:t>
      </w:r>
      <w:r>
        <w:rPr>
          <w:rFonts w:hint="eastAsia" w:hAnsi="宋体"/>
          <w:szCs w:val="32"/>
        </w:rPr>
        <w:t>黎族自治县人民检察院</w:t>
      </w:r>
    </w:p>
    <w:p>
      <w:pPr>
        <w:ind w:left="1600" w:hanging="1600" w:hangingChars="500"/>
        <w:rPr>
          <w:rFonts w:hAnsi="宋体"/>
          <w:szCs w:val="32"/>
        </w:rPr>
      </w:pPr>
      <w:r>
        <w:rPr>
          <w:rFonts w:hint="eastAsia" w:hAnsi="宋体"/>
          <w:szCs w:val="32"/>
        </w:rPr>
        <w:t xml:space="preserve">                    上报时间：202</w:t>
      </w:r>
      <w:r>
        <w:rPr>
          <w:rFonts w:hint="eastAsia" w:hAnsi="宋体"/>
          <w:szCs w:val="32"/>
          <w:lang w:val="en-US" w:eastAsia="zh-CN"/>
        </w:rPr>
        <w:t>3</w:t>
      </w:r>
      <w:r>
        <w:rPr>
          <w:rFonts w:hint="eastAsia" w:hAnsi="宋体"/>
          <w:szCs w:val="32"/>
        </w:rPr>
        <w:t>年</w:t>
      </w:r>
      <w:r>
        <w:rPr>
          <w:rFonts w:hint="eastAsia" w:hAnsi="宋体"/>
          <w:szCs w:val="32"/>
          <w:lang w:val="en-US" w:eastAsia="zh-CN"/>
        </w:rPr>
        <w:t>6</w:t>
      </w:r>
      <w:r>
        <w:rPr>
          <w:rFonts w:hint="eastAsia" w:hAnsi="宋体"/>
          <w:szCs w:val="32"/>
        </w:rPr>
        <w:t>月</w:t>
      </w:r>
      <w:r>
        <w:rPr>
          <w:rFonts w:hint="eastAsia" w:hAnsi="宋体"/>
          <w:szCs w:val="32"/>
          <w:lang w:val="en-US" w:eastAsia="zh-CN"/>
        </w:rPr>
        <w:t>30</w:t>
      </w:r>
      <w:r>
        <w:rPr>
          <w:rFonts w:hint="eastAsia" w:hAnsi="宋体"/>
          <w:szCs w:val="32"/>
        </w:rPr>
        <w:t>日</w:t>
      </w:r>
    </w:p>
    <w:p>
      <w:pPr>
        <w:tabs>
          <w:tab w:val="left" w:pos="720"/>
          <w:tab w:val="left" w:pos="3600"/>
        </w:tabs>
        <w:spacing w:line="360" w:lineRule="auto"/>
        <w:jc w:val="left"/>
        <w:rPr>
          <w:rFonts w:hAnsi="仿宋_GB2312" w:cs="仿宋_GB2312"/>
          <w:szCs w:val="32"/>
        </w:rPr>
      </w:pPr>
    </w:p>
    <w:p>
      <w:pPr>
        <w:tabs>
          <w:tab w:val="left" w:pos="720"/>
          <w:tab w:val="left" w:pos="3600"/>
        </w:tabs>
        <w:spacing w:line="578" w:lineRule="exact"/>
        <w:jc w:val="left"/>
        <w:rPr>
          <w:rFonts w:ascii="黑体" w:hAnsi="仿宋_GB2312" w:eastAsia="黑体" w:cs="仿宋_GB2312"/>
          <w:b/>
          <w:bCs/>
          <w:szCs w:val="32"/>
        </w:rPr>
      </w:pPr>
    </w:p>
    <w:p>
      <w:pPr>
        <w:pStyle w:val="7"/>
        <w:spacing w:line="578" w:lineRule="exact"/>
        <w:ind w:firstLine="0" w:firstLineChars="0"/>
        <w:jc w:val="center"/>
        <w:rPr>
          <w:rFonts w:hint="eastAsia" w:ascii="宋体" w:hAnsi="宋体"/>
          <w:b/>
          <w:bCs/>
          <w:sz w:val="44"/>
          <w:szCs w:val="44"/>
        </w:rPr>
      </w:pPr>
      <w:r>
        <w:rPr>
          <w:rFonts w:hint="eastAsia" w:ascii="宋体" w:hAnsi="宋体"/>
          <w:b/>
          <w:bCs/>
          <w:sz w:val="44"/>
          <w:szCs w:val="44"/>
        </w:rPr>
        <w:t>项目绩效目标表</w:t>
      </w:r>
    </w:p>
    <w:p>
      <w:pPr>
        <w:pStyle w:val="8"/>
        <w:spacing w:line="578" w:lineRule="exact"/>
        <w:ind w:firstLine="482" w:firstLineChars="200"/>
        <w:jc w:val="left"/>
        <w:rPr>
          <w:rFonts w:hint="eastAsia" w:ascii="宋体" w:hAnsi="宋体"/>
          <w:b/>
          <w:bCs/>
          <w:sz w:val="44"/>
          <w:szCs w:val="44"/>
        </w:rPr>
      </w:pPr>
      <w:r>
        <w:rPr>
          <w:rFonts w:hint="eastAsia" w:ascii="宋体" w:hAnsi="宋体"/>
          <w:b/>
          <w:bCs/>
          <w:color w:val="auto"/>
          <w:sz w:val="24"/>
        </w:rPr>
        <w:t>项目名称：</w:t>
      </w:r>
      <w:r>
        <w:rPr>
          <w:rFonts w:hint="eastAsia" w:ascii="宋体" w:hAnsi="宋体"/>
          <w:b/>
          <w:bCs/>
          <w:color w:val="auto"/>
          <w:sz w:val="24"/>
          <w:lang w:eastAsia="zh-CN"/>
        </w:rPr>
        <w:t>行政运行</w:t>
      </w:r>
    </w:p>
    <w:tbl>
      <w:tblPr>
        <w:tblStyle w:val="5"/>
        <w:tblpPr w:leftFromText="180" w:rightFromText="180" w:vertAnchor="text" w:horzAnchor="page" w:tblpX="1407" w:tblpY="565"/>
        <w:tblOverlap w:val="never"/>
        <w:tblW w:w="97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51"/>
        <w:gridCol w:w="1287"/>
        <w:gridCol w:w="1506"/>
        <w:gridCol w:w="1366"/>
        <w:gridCol w:w="1491"/>
        <w:gridCol w:w="132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20" w:hRule="atLeast"/>
        </w:trPr>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指标类型</w:t>
            </w:r>
          </w:p>
        </w:tc>
        <w:tc>
          <w:tcPr>
            <w:tcW w:w="128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指标名称</w:t>
            </w:r>
          </w:p>
        </w:tc>
        <w:tc>
          <w:tcPr>
            <w:tcW w:w="150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绩效目标</w:t>
            </w:r>
          </w:p>
        </w:tc>
        <w:tc>
          <w:tcPr>
            <w:tcW w:w="5594"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 xml:space="preserve">                  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75" w:hRule="atLeast"/>
        </w:trPr>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15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优</w:t>
            </w:r>
          </w:p>
        </w:tc>
        <w:tc>
          <w:tcPr>
            <w:tcW w:w="14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良</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中</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67" w:hRule="atLeast"/>
        </w:trPr>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产出指标</w:t>
            </w:r>
          </w:p>
        </w:tc>
        <w:tc>
          <w:tcPr>
            <w:tcW w:w="12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eastAsia" w:ascii="宋体" w:hAnsi="宋体" w:eastAsia="宋体"/>
                <w:b w:val="0"/>
                <w:i w:val="0"/>
                <w:color w:val="000000"/>
                <w:sz w:val="21"/>
                <w:szCs w:val="21"/>
                <w:u w:val="none"/>
                <w:lang w:eastAsia="zh-CN"/>
              </w:rPr>
              <w:t>保障干警检察业务出差人数</w:t>
            </w:r>
          </w:p>
        </w:tc>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val="en-US" w:eastAsia="zh-CN"/>
              </w:rPr>
            </w:pPr>
            <w:r>
              <w:rPr>
                <w:rFonts w:hint="eastAsia" w:ascii="宋体" w:hAnsi="宋体" w:eastAsia="宋体"/>
                <w:b w:val="0"/>
                <w:i w:val="0"/>
                <w:color w:val="000000"/>
                <w:sz w:val="21"/>
                <w:u w:val="none"/>
                <w:lang w:val="en-US" w:eastAsia="zh-CN"/>
              </w:rPr>
              <w:t>20人/次</w:t>
            </w:r>
          </w:p>
        </w:tc>
        <w:tc>
          <w:tcPr>
            <w:tcW w:w="13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20人/次以上</w:t>
            </w:r>
          </w:p>
        </w:tc>
        <w:tc>
          <w:tcPr>
            <w:tcW w:w="14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15-19人/次</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11-14人/次</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10人/次</w:t>
            </w:r>
            <w:r>
              <w:rPr>
                <w:rFonts w:hint="default" w:ascii="宋体" w:hAnsi="宋体" w:eastAsia="宋体"/>
                <w:b w:val="0"/>
                <w:i w:val="0"/>
                <w:color w:val="000000"/>
                <w:sz w:val="21"/>
                <w:u w:val="none"/>
                <w:lang w:eastAsia="zh-CN"/>
              </w:rPr>
              <w:t>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57" w:hRule="atLeast"/>
        </w:trPr>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default" w:ascii="宋体" w:hAnsi="宋体" w:eastAsia="宋体"/>
                <w:b w:val="0"/>
                <w:i w:val="0"/>
                <w:color w:val="000000"/>
                <w:sz w:val="21"/>
                <w:szCs w:val="21"/>
                <w:u w:val="none"/>
                <w:lang w:eastAsia="zh-CN"/>
              </w:rPr>
              <w:t>省内检察业务</w:t>
            </w:r>
            <w:r>
              <w:rPr>
                <w:rFonts w:hint="eastAsia" w:ascii="宋体" w:hAnsi="宋体" w:eastAsia="宋体"/>
                <w:b w:val="0"/>
                <w:i w:val="0"/>
                <w:color w:val="000000"/>
                <w:sz w:val="21"/>
                <w:szCs w:val="21"/>
                <w:u w:val="none"/>
                <w:lang w:eastAsia="zh-CN"/>
              </w:rPr>
              <w:t>培训</w:t>
            </w:r>
            <w:r>
              <w:rPr>
                <w:rFonts w:hint="default" w:ascii="宋体" w:hAnsi="宋体" w:eastAsia="宋体"/>
                <w:b w:val="0"/>
                <w:i w:val="0"/>
                <w:color w:val="000000"/>
                <w:sz w:val="21"/>
                <w:szCs w:val="21"/>
                <w:u w:val="none"/>
                <w:lang w:eastAsia="zh-CN"/>
              </w:rPr>
              <w:t>学习人数</w:t>
            </w:r>
          </w:p>
        </w:tc>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5</w:t>
            </w:r>
            <w:r>
              <w:rPr>
                <w:rFonts w:hint="default" w:ascii="宋体" w:hAnsi="宋体" w:eastAsia="宋体"/>
                <w:b w:val="0"/>
                <w:i w:val="0"/>
                <w:color w:val="000000"/>
                <w:sz w:val="21"/>
                <w:u w:val="none"/>
                <w:lang w:eastAsia="zh-CN"/>
              </w:rPr>
              <w:t>人</w:t>
            </w:r>
            <w:r>
              <w:rPr>
                <w:rFonts w:hint="eastAsia" w:ascii="宋体" w:hAnsi="宋体" w:eastAsia="宋体"/>
                <w:b w:val="0"/>
                <w:i w:val="0"/>
                <w:color w:val="000000"/>
                <w:sz w:val="21"/>
                <w:u w:val="none"/>
                <w:lang w:val="en-US" w:eastAsia="zh-CN"/>
              </w:rPr>
              <w:t>/次</w:t>
            </w:r>
          </w:p>
        </w:tc>
        <w:tc>
          <w:tcPr>
            <w:tcW w:w="13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8</w:t>
            </w:r>
            <w:r>
              <w:rPr>
                <w:rFonts w:hint="default" w:ascii="宋体" w:hAnsi="宋体" w:eastAsia="宋体"/>
                <w:b w:val="0"/>
                <w:i w:val="0"/>
                <w:color w:val="000000"/>
                <w:sz w:val="21"/>
                <w:u w:val="none"/>
                <w:lang w:eastAsia="zh-CN"/>
              </w:rPr>
              <w:t>人以上</w:t>
            </w:r>
          </w:p>
        </w:tc>
        <w:tc>
          <w:tcPr>
            <w:tcW w:w="14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5-7</w:t>
            </w:r>
            <w:r>
              <w:rPr>
                <w:rFonts w:hint="default" w:ascii="宋体" w:hAnsi="宋体" w:eastAsia="宋体"/>
                <w:b w:val="0"/>
                <w:i w:val="0"/>
                <w:color w:val="000000"/>
                <w:sz w:val="21"/>
                <w:u w:val="none"/>
                <w:lang w:eastAsia="zh-CN"/>
              </w:rPr>
              <w:t>人以上</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3-4</w:t>
            </w:r>
            <w:r>
              <w:rPr>
                <w:rFonts w:hint="default" w:ascii="宋体" w:hAnsi="宋体" w:eastAsia="宋体"/>
                <w:b w:val="0"/>
                <w:i w:val="0"/>
                <w:color w:val="000000"/>
                <w:sz w:val="21"/>
                <w:u w:val="none"/>
                <w:lang w:eastAsia="zh-CN"/>
              </w:rPr>
              <w:t>人</w:t>
            </w:r>
            <w:r>
              <w:rPr>
                <w:rFonts w:hint="eastAsia" w:ascii="宋体" w:hAnsi="宋体" w:eastAsia="宋体"/>
                <w:b w:val="0"/>
                <w:i w:val="0"/>
                <w:color w:val="000000"/>
                <w:sz w:val="21"/>
                <w:u w:val="none"/>
                <w:lang w:val="en-US" w:eastAsia="zh-CN"/>
              </w:rPr>
              <w:t>/次</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2</w:t>
            </w:r>
            <w:r>
              <w:rPr>
                <w:rFonts w:hint="default" w:ascii="宋体" w:hAnsi="宋体" w:eastAsia="宋体"/>
                <w:b w:val="0"/>
                <w:i w:val="0"/>
                <w:color w:val="000000"/>
                <w:sz w:val="21"/>
                <w:u w:val="none"/>
                <w:lang w:eastAsia="zh-CN"/>
              </w:rPr>
              <w:t>人以下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43" w:hRule="atLeast"/>
        </w:trPr>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2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18"/>
                <w:u w:val="none"/>
                <w:lang w:eastAsia="zh-CN"/>
              </w:rPr>
            </w:pPr>
            <w:r>
              <w:rPr>
                <w:rFonts w:hint="eastAsia" w:ascii="宋体" w:hAnsi="宋体" w:eastAsia="宋体"/>
                <w:b w:val="0"/>
                <w:i w:val="0"/>
                <w:color w:val="000000"/>
                <w:sz w:val="21"/>
                <w:szCs w:val="21"/>
                <w:u w:val="none"/>
                <w:lang w:eastAsia="zh-CN"/>
              </w:rPr>
              <w:t>劳务派遣人员工资足额发放率</w:t>
            </w:r>
          </w:p>
        </w:tc>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val="en-US" w:eastAsia="zh-CN"/>
              </w:rPr>
            </w:pPr>
            <w:r>
              <w:rPr>
                <w:rFonts w:hint="eastAsia" w:ascii="宋体" w:hAnsi="宋体" w:eastAsia="宋体"/>
                <w:b w:val="0"/>
                <w:i w:val="0"/>
                <w:color w:val="000000"/>
                <w:sz w:val="21"/>
                <w:u w:val="none"/>
                <w:lang w:val="en-US" w:eastAsia="zh-CN"/>
              </w:rPr>
              <w:t>95%</w:t>
            </w:r>
            <w:r>
              <w:rPr>
                <w:rFonts w:hint="default" w:ascii="宋体" w:hAnsi="宋体" w:eastAsia="宋体"/>
                <w:b w:val="0"/>
                <w:i w:val="0"/>
                <w:color w:val="000000"/>
                <w:sz w:val="21"/>
                <w:u w:val="none"/>
                <w:lang w:eastAsia="zh-CN"/>
              </w:rPr>
              <w:t>以上</w:t>
            </w:r>
          </w:p>
        </w:tc>
        <w:tc>
          <w:tcPr>
            <w:tcW w:w="13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95%</w:t>
            </w:r>
            <w:r>
              <w:rPr>
                <w:rFonts w:hint="default" w:ascii="宋体" w:hAnsi="宋体" w:eastAsia="宋体"/>
                <w:b w:val="0"/>
                <w:i w:val="0"/>
                <w:color w:val="000000"/>
                <w:sz w:val="21"/>
                <w:u w:val="none"/>
                <w:lang w:eastAsia="zh-CN"/>
              </w:rPr>
              <w:t>以上</w:t>
            </w:r>
          </w:p>
        </w:tc>
        <w:tc>
          <w:tcPr>
            <w:tcW w:w="14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val="en-US" w:eastAsia="zh-CN"/>
              </w:rPr>
            </w:pPr>
            <w:r>
              <w:rPr>
                <w:rFonts w:hint="eastAsia" w:ascii="宋体" w:hAnsi="宋体" w:eastAsia="宋体"/>
                <w:b w:val="0"/>
                <w:i w:val="0"/>
                <w:color w:val="000000"/>
                <w:sz w:val="21"/>
                <w:u w:val="none"/>
                <w:lang w:val="en-US" w:eastAsia="zh-CN"/>
              </w:rPr>
              <w:t>90-94%</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val="en-US" w:eastAsia="zh-CN"/>
              </w:rPr>
            </w:pPr>
            <w:r>
              <w:rPr>
                <w:rFonts w:hint="eastAsia" w:ascii="宋体" w:hAnsi="宋体" w:eastAsia="宋体"/>
                <w:b w:val="0"/>
                <w:i w:val="0"/>
                <w:color w:val="000000"/>
                <w:sz w:val="21"/>
                <w:u w:val="none"/>
                <w:lang w:val="en-US" w:eastAsia="zh-CN"/>
              </w:rPr>
              <w:t>86-89%</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85%</w:t>
            </w:r>
            <w:r>
              <w:rPr>
                <w:rFonts w:hint="default" w:ascii="宋体" w:hAnsi="宋体" w:eastAsia="宋体"/>
                <w:b w:val="0"/>
                <w:i w:val="0"/>
                <w:color w:val="000000"/>
                <w:sz w:val="21"/>
                <w:u w:val="none"/>
                <w:lang w:eastAsia="zh-CN"/>
              </w:rPr>
              <w:t>人以下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2" w:hRule="atLeast"/>
        </w:trPr>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szCs w:val="21"/>
                <w:u w:val="none"/>
                <w:lang w:eastAsia="zh-CN"/>
              </w:rPr>
            </w:pPr>
            <w:r>
              <w:rPr>
                <w:rFonts w:hint="eastAsia" w:ascii="宋体" w:hAnsi="宋体" w:eastAsia="宋体"/>
                <w:b w:val="0"/>
                <w:i w:val="0"/>
                <w:color w:val="000000"/>
                <w:sz w:val="21"/>
                <w:szCs w:val="21"/>
                <w:u w:val="none"/>
                <w:lang w:eastAsia="zh-CN"/>
              </w:rPr>
              <w:t>效益</w:t>
            </w:r>
            <w:r>
              <w:rPr>
                <w:rFonts w:hint="default" w:ascii="宋体" w:hAnsi="宋体" w:eastAsia="宋体"/>
                <w:b w:val="0"/>
                <w:i w:val="0"/>
                <w:color w:val="000000"/>
                <w:sz w:val="21"/>
                <w:szCs w:val="21"/>
                <w:u w:val="none"/>
                <w:lang w:eastAsia="zh-CN"/>
              </w:rPr>
              <w:t>指标</w:t>
            </w:r>
          </w:p>
        </w:tc>
        <w:tc>
          <w:tcPr>
            <w:tcW w:w="128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eastAsia" w:ascii="宋体" w:hAnsi="宋体" w:eastAsia="宋体"/>
                <w:b w:val="0"/>
                <w:i w:val="0"/>
                <w:color w:val="000000"/>
                <w:sz w:val="21"/>
                <w:szCs w:val="21"/>
                <w:u w:val="none"/>
                <w:lang w:eastAsia="zh-CN"/>
              </w:rPr>
              <w:t>检察业务宣传效果明显</w:t>
            </w:r>
          </w:p>
        </w:tc>
        <w:tc>
          <w:tcPr>
            <w:tcW w:w="150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95%以上</w:t>
            </w: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95%</w:t>
            </w:r>
            <w:r>
              <w:rPr>
                <w:rFonts w:hint="default" w:ascii="宋体" w:hAnsi="宋体" w:eastAsia="宋体"/>
                <w:b w:val="0"/>
                <w:i w:val="0"/>
                <w:color w:val="000000"/>
                <w:sz w:val="21"/>
                <w:u w:val="none"/>
                <w:lang w:eastAsia="zh-CN"/>
              </w:rPr>
              <w:t>以上</w:t>
            </w:r>
          </w:p>
        </w:tc>
        <w:tc>
          <w:tcPr>
            <w:tcW w:w="149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90-94%</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86-89%</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85%</w:t>
            </w:r>
            <w:r>
              <w:rPr>
                <w:rFonts w:hint="default" w:ascii="宋体" w:hAnsi="宋体" w:eastAsia="宋体"/>
                <w:b w:val="0"/>
                <w:i w:val="0"/>
                <w:color w:val="000000"/>
                <w:sz w:val="21"/>
                <w:u w:val="none"/>
                <w:lang w:eastAsia="zh-CN"/>
              </w:rPr>
              <w:t>人以下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17" w:hRule="atLeast"/>
        </w:trPr>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150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49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28" w:hRule="atLeast"/>
        </w:trPr>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128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p>
        </w:tc>
        <w:tc>
          <w:tcPr>
            <w:tcW w:w="150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49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top"/>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72" w:hRule="atLeast"/>
        </w:trPr>
        <w:tc>
          <w:tcPr>
            <w:tcW w:w="13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default" w:ascii="宋体" w:hAnsi="宋体" w:eastAsia="宋体"/>
                <w:b w:val="0"/>
                <w:i w:val="0"/>
                <w:color w:val="000000"/>
                <w:sz w:val="21"/>
                <w:u w:val="none"/>
                <w:lang w:eastAsia="zh-CN"/>
              </w:rPr>
              <w:t>满意度指标</w:t>
            </w:r>
          </w:p>
        </w:tc>
        <w:tc>
          <w:tcPr>
            <w:tcW w:w="128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1"/>
                <w:szCs w:val="21"/>
                <w:u w:val="none"/>
                <w:lang w:eastAsia="zh-CN"/>
              </w:rPr>
            </w:pPr>
            <w:r>
              <w:rPr>
                <w:rFonts w:hint="eastAsia" w:ascii="宋体" w:hAnsi="宋体" w:eastAsia="宋体"/>
                <w:b w:val="0"/>
                <w:i w:val="0"/>
                <w:color w:val="000000"/>
                <w:sz w:val="21"/>
                <w:szCs w:val="21"/>
                <w:u w:val="none"/>
                <w:lang w:eastAsia="zh-CN"/>
              </w:rPr>
              <w:t>业务培训干警满意度</w:t>
            </w:r>
          </w:p>
        </w:tc>
        <w:tc>
          <w:tcPr>
            <w:tcW w:w="1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95</w:t>
            </w:r>
            <w:r>
              <w:rPr>
                <w:rFonts w:hint="default" w:ascii="宋体" w:hAnsi="宋体" w:eastAsia="宋体"/>
                <w:b w:val="0"/>
                <w:i w:val="0"/>
                <w:color w:val="000000"/>
                <w:sz w:val="21"/>
                <w:u w:val="none"/>
                <w:lang w:eastAsia="zh-CN"/>
              </w:rPr>
              <w:t>%</w:t>
            </w:r>
            <w:r>
              <w:rPr>
                <w:rFonts w:hint="eastAsia" w:ascii="宋体" w:hAnsi="宋体" w:eastAsia="宋体"/>
                <w:b w:val="0"/>
                <w:i w:val="0"/>
                <w:color w:val="000000"/>
                <w:sz w:val="21"/>
                <w:u w:val="none"/>
                <w:lang w:eastAsia="zh-CN"/>
              </w:rPr>
              <w:t>以上</w:t>
            </w:r>
          </w:p>
        </w:tc>
        <w:tc>
          <w:tcPr>
            <w:tcW w:w="13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95%</w:t>
            </w:r>
            <w:r>
              <w:rPr>
                <w:rFonts w:hint="default" w:ascii="宋体" w:hAnsi="宋体" w:eastAsia="宋体"/>
                <w:b w:val="0"/>
                <w:i w:val="0"/>
                <w:color w:val="000000"/>
                <w:sz w:val="21"/>
                <w:u w:val="none"/>
                <w:lang w:eastAsia="zh-CN"/>
              </w:rPr>
              <w:t>以上</w:t>
            </w:r>
          </w:p>
        </w:tc>
        <w:tc>
          <w:tcPr>
            <w:tcW w:w="149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90-94%</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86-89%</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1"/>
                <w:u w:val="none"/>
                <w:lang w:eastAsia="zh-CN"/>
              </w:rPr>
            </w:pPr>
            <w:r>
              <w:rPr>
                <w:rFonts w:hint="eastAsia" w:ascii="宋体" w:hAnsi="宋体" w:eastAsia="宋体"/>
                <w:b w:val="0"/>
                <w:i w:val="0"/>
                <w:color w:val="000000"/>
                <w:sz w:val="21"/>
                <w:u w:val="none"/>
                <w:lang w:val="en-US" w:eastAsia="zh-CN"/>
              </w:rPr>
              <w:t>85%</w:t>
            </w:r>
            <w:r>
              <w:rPr>
                <w:rFonts w:hint="default" w:ascii="宋体" w:hAnsi="宋体" w:eastAsia="宋体"/>
                <w:b w:val="0"/>
                <w:i w:val="0"/>
                <w:color w:val="000000"/>
                <w:sz w:val="21"/>
                <w:u w:val="none"/>
                <w:lang w:eastAsia="zh-CN"/>
              </w:rPr>
              <w:t>人以下</w:t>
            </w:r>
          </w:p>
        </w:tc>
      </w:tr>
    </w:tbl>
    <w:p/>
    <w:p>
      <w:pPr>
        <w:rPr>
          <w:rFonts w:hint="eastAsia"/>
          <w:lang w:val="en-US" w:eastAsia="zh-CN"/>
        </w:rPr>
      </w:pPr>
    </w:p>
    <w:p>
      <w:pPr>
        <w:rPr>
          <w:rFonts w:hint="eastAsia"/>
          <w:lang w:val="en-US" w:eastAsia="zh-CN"/>
        </w:rPr>
      </w:pPr>
    </w:p>
    <w:p>
      <w:pPr>
        <w:spacing w:line="530" w:lineRule="exact"/>
        <w:jc w:val="left"/>
        <w:rPr>
          <w:rFonts w:ascii="黑体" w:hAnsi="仿宋_GB2312" w:eastAsia="黑体" w:cs="仿宋_GB2312"/>
          <w:szCs w:val="32"/>
        </w:rPr>
      </w:pPr>
    </w:p>
    <w:p>
      <w:pPr>
        <w:spacing w:line="530" w:lineRule="exact"/>
        <w:jc w:val="center"/>
        <w:rPr>
          <w:rFonts w:ascii="宋体" w:hAnsi="宋体" w:eastAsia="宋体"/>
          <w:b/>
          <w:sz w:val="44"/>
          <w:szCs w:val="44"/>
        </w:rPr>
      </w:pPr>
      <w:r>
        <w:rPr>
          <w:rFonts w:hint="eastAsia" w:ascii="宋体" w:hAnsi="宋体" w:eastAsia="宋体"/>
          <w:b/>
          <w:sz w:val="44"/>
          <w:szCs w:val="44"/>
        </w:rPr>
        <w:t>项目基本信息表</w:t>
      </w:r>
    </w:p>
    <w:p>
      <w:pPr>
        <w:spacing w:line="530" w:lineRule="exact"/>
        <w:rPr>
          <w:rFonts w:ascii="宋体" w:hAnsi="宋体" w:eastAsia="宋体"/>
          <w:b/>
          <w:sz w:val="21"/>
          <w:szCs w:val="21"/>
        </w:rPr>
      </w:pPr>
    </w:p>
    <w:tbl>
      <w:tblPr>
        <w:tblStyle w:val="5"/>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841"/>
        <w:gridCol w:w="321"/>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8770" w:type="dxa"/>
            <w:gridSpan w:val="20"/>
            <w:vAlign w:val="center"/>
          </w:tcPr>
          <w:p>
            <w:pPr>
              <w:spacing w:line="280" w:lineRule="exact"/>
              <w:rPr>
                <w:rFonts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625"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280" w:lineRule="exact"/>
              <w:jc w:val="center"/>
              <w:rPr>
                <w:rFonts w:ascii="宋体" w:hAnsi="宋体" w:eastAsia="宋体"/>
                <w:sz w:val="21"/>
                <w:szCs w:val="21"/>
              </w:rPr>
            </w:pPr>
            <w:r>
              <w:rPr>
                <w:rFonts w:hint="eastAsia" w:ascii="宋体" w:hAnsi="宋体" w:eastAsia="宋体"/>
                <w:sz w:val="21"/>
                <w:szCs w:val="21"/>
                <w:lang w:eastAsia="zh-CN"/>
              </w:rPr>
              <w:t>昌江</w:t>
            </w:r>
            <w:r>
              <w:rPr>
                <w:rFonts w:hint="eastAsia" w:ascii="宋体" w:hAnsi="宋体" w:eastAsia="宋体"/>
                <w:sz w:val="21"/>
                <w:szCs w:val="21"/>
              </w:rPr>
              <w:t>黎族自治县人民检察院</w:t>
            </w:r>
          </w:p>
        </w:tc>
        <w:tc>
          <w:tcPr>
            <w:tcW w:w="3003"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rPr>
              <w:t>海南省人民检察院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390"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林道智</w:t>
            </w:r>
          </w:p>
        </w:tc>
        <w:tc>
          <w:tcPr>
            <w:tcW w:w="3003"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26666039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420"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280" w:lineRule="exact"/>
              <w:jc w:val="center"/>
              <w:rPr>
                <w:rFonts w:ascii="宋体" w:hAnsi="宋体" w:eastAsia="宋体"/>
                <w:sz w:val="21"/>
                <w:szCs w:val="21"/>
              </w:rPr>
            </w:pPr>
            <w:r>
              <w:rPr>
                <w:rFonts w:hint="eastAsia" w:ascii="宋体" w:hAnsi="宋体" w:eastAsia="宋体"/>
                <w:sz w:val="21"/>
                <w:szCs w:val="21"/>
              </w:rPr>
              <w:t>海南省昌江县环城东路108号昌江县人民检察院</w:t>
            </w:r>
          </w:p>
        </w:tc>
        <w:tc>
          <w:tcPr>
            <w:tcW w:w="936"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rPr>
              <w:t>572</w:t>
            </w:r>
            <w:r>
              <w:rPr>
                <w:rFonts w:hint="eastAsia" w:ascii="宋体" w:hAnsi="宋体" w:eastAsia="宋体"/>
                <w:sz w:val="21"/>
                <w:szCs w:val="21"/>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280" w:lineRule="exact"/>
              <w:jc w:val="center"/>
              <w:rPr>
                <w:rFonts w:ascii="宋体" w:hAnsi="宋体" w:eastAsia="宋体"/>
                <w:sz w:val="21"/>
                <w:szCs w:val="21"/>
              </w:rPr>
            </w:pPr>
            <w:r>
              <w:rPr>
                <w:rFonts w:hint="eastAsia" w:ascii="宋体" w:hAnsi="宋体" w:eastAsia="宋体"/>
                <w:sz w:val="21"/>
                <w:szCs w:val="21"/>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计划投资额</w:t>
            </w:r>
          </w:p>
          <w:p>
            <w:pPr>
              <w:spacing w:line="280" w:lineRule="exact"/>
              <w:jc w:val="center"/>
              <w:rPr>
                <w:rFonts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106.82</w:t>
            </w:r>
          </w:p>
        </w:tc>
        <w:tc>
          <w:tcPr>
            <w:tcW w:w="1799" w:type="dxa"/>
            <w:gridSpan w:val="5"/>
            <w:vAlign w:val="center"/>
          </w:tcPr>
          <w:p>
            <w:pPr>
              <w:spacing w:line="280" w:lineRule="exact"/>
              <w:jc w:val="center"/>
              <w:rPr>
                <w:rFonts w:ascii="宋体" w:hAnsi="宋体" w:eastAsia="宋体"/>
                <w:sz w:val="21"/>
                <w:szCs w:val="21"/>
              </w:rPr>
            </w:pPr>
            <w:r>
              <w:rPr>
                <w:rFonts w:hint="eastAsia" w:ascii="宋体" w:hAnsi="宋体" w:eastAsia="宋体"/>
                <w:sz w:val="21"/>
                <w:szCs w:val="21"/>
              </w:rPr>
              <w:t>实际到位资金（万元）</w:t>
            </w:r>
          </w:p>
        </w:tc>
        <w:tc>
          <w:tcPr>
            <w:tcW w:w="841" w:type="dxa"/>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106.82</w:t>
            </w:r>
          </w:p>
        </w:tc>
        <w:tc>
          <w:tcPr>
            <w:tcW w:w="1608" w:type="dxa"/>
            <w:gridSpan w:val="5"/>
            <w:vAlign w:val="center"/>
          </w:tcPr>
          <w:p>
            <w:pPr>
              <w:spacing w:line="280" w:lineRule="exact"/>
              <w:jc w:val="center"/>
              <w:rPr>
                <w:rFonts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345"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280" w:lineRule="exact"/>
              <w:jc w:val="center"/>
              <w:rPr>
                <w:rFonts w:ascii="宋体" w:hAnsi="宋体" w:eastAsia="宋体"/>
                <w:sz w:val="21"/>
                <w:szCs w:val="21"/>
              </w:rPr>
            </w:pPr>
          </w:p>
        </w:tc>
        <w:tc>
          <w:tcPr>
            <w:tcW w:w="1799" w:type="dxa"/>
            <w:gridSpan w:val="5"/>
            <w:vAlign w:val="center"/>
          </w:tcPr>
          <w:p>
            <w:pPr>
              <w:spacing w:line="280" w:lineRule="exact"/>
              <w:jc w:val="center"/>
              <w:rPr>
                <w:rFonts w:ascii="宋体" w:hAnsi="宋体" w:eastAsia="宋体"/>
                <w:sz w:val="21"/>
                <w:szCs w:val="21"/>
              </w:rPr>
            </w:pPr>
            <w:r>
              <w:rPr>
                <w:rFonts w:hint="eastAsia" w:ascii="宋体" w:hAnsi="宋体" w:eastAsia="宋体"/>
                <w:sz w:val="21"/>
                <w:szCs w:val="21"/>
              </w:rPr>
              <w:t>其中：中央财政</w:t>
            </w:r>
          </w:p>
        </w:tc>
        <w:tc>
          <w:tcPr>
            <w:tcW w:w="841" w:type="dxa"/>
            <w:vAlign w:val="center"/>
          </w:tcPr>
          <w:p>
            <w:pPr>
              <w:spacing w:line="280" w:lineRule="exact"/>
              <w:jc w:val="center"/>
              <w:rPr>
                <w:rFonts w:ascii="宋体" w:hAnsi="宋体" w:eastAsia="宋体"/>
                <w:sz w:val="21"/>
                <w:szCs w:val="21"/>
              </w:rPr>
            </w:pPr>
          </w:p>
        </w:tc>
        <w:tc>
          <w:tcPr>
            <w:tcW w:w="1608" w:type="dxa"/>
            <w:gridSpan w:val="5"/>
            <w:vAlign w:val="center"/>
          </w:tcPr>
          <w:p>
            <w:pPr>
              <w:spacing w:line="280" w:lineRule="exact"/>
              <w:jc w:val="center"/>
              <w:rPr>
                <w:rFonts w:ascii="宋体" w:hAnsi="宋体" w:eastAsia="宋体"/>
                <w:sz w:val="21"/>
                <w:szCs w:val="21"/>
              </w:rPr>
            </w:pPr>
          </w:p>
        </w:tc>
        <w:tc>
          <w:tcPr>
            <w:tcW w:w="1728" w:type="dxa"/>
            <w:gridSpan w:val="3"/>
            <w:vAlign w:val="center"/>
          </w:tcPr>
          <w:p>
            <w:pPr>
              <w:spacing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390"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106.82</w:t>
            </w:r>
          </w:p>
        </w:tc>
        <w:tc>
          <w:tcPr>
            <w:tcW w:w="1799" w:type="dxa"/>
            <w:gridSpan w:val="5"/>
            <w:vAlign w:val="center"/>
          </w:tcPr>
          <w:p>
            <w:pPr>
              <w:spacing w:line="280" w:lineRule="exact"/>
              <w:jc w:val="center"/>
              <w:rPr>
                <w:rFonts w:ascii="宋体" w:hAnsi="宋体" w:eastAsia="宋体"/>
                <w:sz w:val="21"/>
                <w:szCs w:val="21"/>
              </w:rPr>
            </w:pPr>
            <w:r>
              <w:rPr>
                <w:rFonts w:hint="eastAsia" w:ascii="宋体" w:hAnsi="宋体" w:eastAsia="宋体"/>
                <w:sz w:val="21"/>
                <w:szCs w:val="21"/>
              </w:rPr>
              <w:t>省财政</w:t>
            </w:r>
          </w:p>
        </w:tc>
        <w:tc>
          <w:tcPr>
            <w:tcW w:w="841" w:type="dxa"/>
            <w:vAlign w:val="center"/>
          </w:tcPr>
          <w:p>
            <w:pPr>
              <w:spacing w:line="280" w:lineRule="exact"/>
              <w:jc w:val="both"/>
              <w:rPr>
                <w:rFonts w:hint="default" w:ascii="宋体" w:hAnsi="宋体" w:eastAsia="宋体"/>
                <w:sz w:val="21"/>
                <w:szCs w:val="21"/>
                <w:lang w:val="en-US" w:eastAsia="zh-CN"/>
              </w:rPr>
            </w:pPr>
            <w:r>
              <w:rPr>
                <w:rFonts w:hint="eastAsia" w:ascii="宋体" w:hAnsi="宋体" w:eastAsia="宋体"/>
                <w:sz w:val="21"/>
                <w:szCs w:val="21"/>
                <w:lang w:val="en-US" w:eastAsia="zh-CN"/>
              </w:rPr>
              <w:t>106.82</w:t>
            </w:r>
          </w:p>
        </w:tc>
        <w:tc>
          <w:tcPr>
            <w:tcW w:w="1608" w:type="dxa"/>
            <w:gridSpan w:val="5"/>
            <w:vAlign w:val="center"/>
          </w:tcPr>
          <w:p>
            <w:pPr>
              <w:spacing w:line="280" w:lineRule="exact"/>
              <w:jc w:val="center"/>
              <w:rPr>
                <w:rFonts w:ascii="宋体" w:hAnsi="宋体" w:eastAsia="宋体"/>
                <w:sz w:val="21"/>
                <w:szCs w:val="21"/>
              </w:rPr>
            </w:pPr>
          </w:p>
        </w:tc>
        <w:tc>
          <w:tcPr>
            <w:tcW w:w="1728" w:type="dxa"/>
            <w:gridSpan w:val="3"/>
            <w:vAlign w:val="center"/>
          </w:tcPr>
          <w:p>
            <w:pPr>
              <w:spacing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280" w:lineRule="exact"/>
              <w:jc w:val="center"/>
              <w:rPr>
                <w:rFonts w:ascii="宋体" w:hAnsi="宋体" w:eastAsia="宋体"/>
                <w:sz w:val="21"/>
                <w:szCs w:val="21"/>
              </w:rPr>
            </w:pPr>
          </w:p>
        </w:tc>
        <w:tc>
          <w:tcPr>
            <w:tcW w:w="1799" w:type="dxa"/>
            <w:gridSpan w:val="5"/>
            <w:vAlign w:val="center"/>
          </w:tcPr>
          <w:p>
            <w:pPr>
              <w:spacing w:line="280" w:lineRule="exact"/>
              <w:jc w:val="center"/>
              <w:rPr>
                <w:rFonts w:ascii="宋体" w:hAnsi="宋体" w:eastAsia="宋体"/>
                <w:sz w:val="21"/>
                <w:szCs w:val="21"/>
              </w:rPr>
            </w:pPr>
            <w:r>
              <w:rPr>
                <w:rFonts w:hint="eastAsia" w:ascii="宋体" w:hAnsi="宋体" w:eastAsia="宋体"/>
                <w:sz w:val="21"/>
                <w:szCs w:val="21"/>
              </w:rPr>
              <w:t>市县财政</w:t>
            </w:r>
          </w:p>
        </w:tc>
        <w:tc>
          <w:tcPr>
            <w:tcW w:w="841" w:type="dxa"/>
            <w:vAlign w:val="center"/>
          </w:tcPr>
          <w:p>
            <w:pPr>
              <w:spacing w:line="280" w:lineRule="exact"/>
              <w:jc w:val="center"/>
              <w:rPr>
                <w:rFonts w:ascii="宋体" w:hAnsi="宋体" w:eastAsia="宋体"/>
                <w:sz w:val="21"/>
                <w:szCs w:val="21"/>
              </w:rPr>
            </w:pPr>
          </w:p>
        </w:tc>
        <w:tc>
          <w:tcPr>
            <w:tcW w:w="1608" w:type="dxa"/>
            <w:gridSpan w:val="5"/>
            <w:vAlign w:val="center"/>
          </w:tcPr>
          <w:p>
            <w:pPr>
              <w:spacing w:line="280" w:lineRule="exact"/>
              <w:jc w:val="center"/>
              <w:rPr>
                <w:rFonts w:ascii="宋体" w:hAnsi="宋体" w:eastAsia="宋体"/>
                <w:sz w:val="21"/>
                <w:szCs w:val="21"/>
              </w:rPr>
            </w:pPr>
          </w:p>
        </w:tc>
        <w:tc>
          <w:tcPr>
            <w:tcW w:w="1728" w:type="dxa"/>
            <w:gridSpan w:val="3"/>
            <w:vAlign w:val="center"/>
          </w:tcPr>
          <w:p>
            <w:pPr>
              <w:spacing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280" w:lineRule="exact"/>
              <w:jc w:val="center"/>
              <w:rPr>
                <w:rFonts w:ascii="宋体" w:hAnsi="宋体" w:eastAsia="宋体"/>
                <w:sz w:val="21"/>
                <w:szCs w:val="21"/>
              </w:rPr>
            </w:pPr>
          </w:p>
        </w:tc>
        <w:tc>
          <w:tcPr>
            <w:tcW w:w="1799" w:type="dxa"/>
            <w:gridSpan w:val="5"/>
            <w:vAlign w:val="center"/>
          </w:tcPr>
          <w:p>
            <w:pPr>
              <w:spacing w:line="280" w:lineRule="exact"/>
              <w:jc w:val="center"/>
              <w:rPr>
                <w:rFonts w:ascii="宋体" w:hAnsi="宋体" w:eastAsia="宋体"/>
                <w:sz w:val="21"/>
                <w:szCs w:val="21"/>
              </w:rPr>
            </w:pPr>
            <w:r>
              <w:rPr>
                <w:rFonts w:hint="eastAsia" w:ascii="宋体" w:hAnsi="宋体" w:eastAsia="宋体"/>
                <w:sz w:val="21"/>
                <w:szCs w:val="21"/>
              </w:rPr>
              <w:t>其他</w:t>
            </w:r>
          </w:p>
        </w:tc>
        <w:tc>
          <w:tcPr>
            <w:tcW w:w="841" w:type="dxa"/>
            <w:vAlign w:val="center"/>
          </w:tcPr>
          <w:p>
            <w:pPr>
              <w:spacing w:line="280" w:lineRule="exact"/>
              <w:jc w:val="center"/>
              <w:rPr>
                <w:rFonts w:ascii="宋体" w:hAnsi="宋体" w:eastAsia="宋体"/>
                <w:sz w:val="21"/>
                <w:szCs w:val="21"/>
              </w:rPr>
            </w:pPr>
          </w:p>
        </w:tc>
        <w:tc>
          <w:tcPr>
            <w:tcW w:w="1608" w:type="dxa"/>
            <w:gridSpan w:val="5"/>
            <w:vAlign w:val="center"/>
          </w:tcPr>
          <w:p>
            <w:pPr>
              <w:spacing w:line="280" w:lineRule="exact"/>
              <w:jc w:val="center"/>
              <w:rPr>
                <w:rFonts w:ascii="宋体" w:hAnsi="宋体" w:eastAsia="宋体"/>
                <w:sz w:val="21"/>
                <w:szCs w:val="21"/>
              </w:rPr>
            </w:pPr>
          </w:p>
        </w:tc>
        <w:tc>
          <w:tcPr>
            <w:tcW w:w="1728" w:type="dxa"/>
            <w:gridSpan w:val="3"/>
            <w:vAlign w:val="center"/>
          </w:tcPr>
          <w:p>
            <w:pPr>
              <w:spacing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8752" w:type="dxa"/>
            <w:gridSpan w:val="19"/>
            <w:vAlign w:val="center"/>
          </w:tcPr>
          <w:p>
            <w:pPr>
              <w:spacing w:line="280" w:lineRule="exact"/>
              <w:rPr>
                <w:rFonts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607" w:hRule="atLeast"/>
          <w:jc w:val="center"/>
        </w:trPr>
        <w:tc>
          <w:tcPr>
            <w:tcW w:w="1379" w:type="dxa"/>
            <w:gridSpan w:val="2"/>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405"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cs="Times New Roman"/>
                <w:kern w:val="2"/>
                <w:sz w:val="21"/>
                <w:szCs w:val="21"/>
                <w:lang w:val="en-US" w:eastAsia="zh-CN" w:bidi="ar-SA"/>
              </w:rPr>
              <w:pict>
                <v:shape id="_x0000_i1025" o:spt="75" type="#_x0000_t75" style="height:1.5pt;width:1.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hint="eastAsia" w:ascii="宋体" w:hAnsi="宋体" w:eastAsia="宋体" w:cs="Times New Roman"/>
                <w:kern w:val="2"/>
                <w:sz w:val="21"/>
                <w:szCs w:val="21"/>
                <w:lang w:val="en-US" w:eastAsia="zh-CN" w:bidi="ar-SA"/>
              </w:rPr>
              <w:pict>
                <v:shape id="_x0000_i1026" o:spt="75" type="#_x0000_t75" style="height:1.5pt;width:1.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hint="eastAsia" w:ascii="宋体" w:hAnsi="宋体" w:eastAsia="宋体" w:cs="Times New Roman"/>
                <w:kern w:val="2"/>
                <w:sz w:val="21"/>
                <w:szCs w:val="21"/>
                <w:lang w:val="en-US" w:eastAsia="zh-CN" w:bidi="ar-SA"/>
              </w:rPr>
              <w:pict>
                <v:shape id="_x0000_i1027" o:spt="75" type="#_x0000_t75" style="height:1.5pt;width:1.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hint="eastAsia" w:ascii="宋体" w:hAnsi="宋体" w:eastAsia="宋体" w:cs="Times New Roman"/>
                <w:kern w:val="2"/>
                <w:sz w:val="21"/>
                <w:szCs w:val="21"/>
                <w:lang w:val="en-US" w:eastAsia="zh-CN" w:bidi="ar-SA"/>
              </w:rPr>
              <w:pict>
                <v:shape id="_x0000_i1028" o:spt="75" type="#_x0000_t75" style="height:1.5pt;width:1.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 w:type="dxa"/>
          <w:trHeight w:val="63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default" w:ascii="宋体" w:hAnsi="宋体" w:eastAsia="宋体"/>
                <w:bCs/>
                <w:color w:val="000000"/>
                <w:sz w:val="21"/>
                <w:szCs w:val="21"/>
                <w:lang w:val="en-US" w:eastAsia="zh-CN"/>
              </w:rPr>
            </w:pPr>
            <w:r>
              <w:rPr>
                <w:rFonts w:hint="eastAsia" w:ascii="宋体" w:hAnsi="宋体" w:eastAsia="宋体"/>
                <w:bCs/>
                <w:color w:val="000000"/>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725" w:hRule="atLeast"/>
          <w:jc w:val="center"/>
        </w:trPr>
        <w:tc>
          <w:tcPr>
            <w:tcW w:w="4462" w:type="dxa"/>
            <w:gridSpan w:val="10"/>
            <w:vAlign w:val="center"/>
          </w:tcPr>
          <w:p>
            <w:pPr>
              <w:spacing w:line="280" w:lineRule="exact"/>
              <w:jc w:val="center"/>
              <w:rPr>
                <w:rFonts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700" w:hRule="atLeast"/>
          <w:jc w:val="center"/>
        </w:trPr>
        <w:tc>
          <w:tcPr>
            <w:tcW w:w="8763" w:type="dxa"/>
            <w:gridSpan w:val="19"/>
            <w:vAlign w:val="center"/>
          </w:tcPr>
          <w:p>
            <w:pPr>
              <w:spacing w:line="280" w:lineRule="exact"/>
              <w:rPr>
                <w:rFonts w:ascii="宋体" w:hAnsi="宋体" w:eastAsia="宋体"/>
                <w:b/>
                <w:bCs/>
                <w:sz w:val="21"/>
                <w:szCs w:val="21"/>
              </w:rPr>
            </w:pPr>
            <w:r>
              <w:rPr>
                <w:rFonts w:hint="eastAsia" w:ascii="宋体" w:hAnsi="宋体" w:eastAsia="宋体"/>
                <w:b/>
                <w:bCs/>
                <w:sz w:val="21"/>
                <w:szCs w:val="21"/>
              </w:rPr>
              <w:t>三、评价人员</w:t>
            </w:r>
          </w:p>
          <w:p>
            <w:pPr>
              <w:spacing w:line="280" w:lineRule="exact"/>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628" w:hRule="atLeast"/>
          <w:jc w:val="center"/>
        </w:trPr>
        <w:tc>
          <w:tcPr>
            <w:tcW w:w="1605" w:type="dxa"/>
            <w:gridSpan w:val="3"/>
            <w:vAlign w:val="center"/>
          </w:tcPr>
          <w:p>
            <w:pPr>
              <w:tabs>
                <w:tab w:val="left" w:pos="592"/>
              </w:tabs>
              <w:spacing w:line="280" w:lineRule="exact"/>
              <w:jc w:val="center"/>
              <w:rPr>
                <w:rFonts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280" w:lineRule="exact"/>
              <w:jc w:val="center"/>
              <w:rPr>
                <w:rFonts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280" w:lineRule="exact"/>
              <w:jc w:val="center"/>
              <w:rPr>
                <w:rFonts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640"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梁起</w:t>
            </w:r>
          </w:p>
        </w:tc>
        <w:tc>
          <w:tcPr>
            <w:tcW w:w="1557"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专委</w:t>
            </w:r>
          </w:p>
        </w:tc>
        <w:tc>
          <w:tcPr>
            <w:tcW w:w="2598"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lang w:eastAsia="zh-CN"/>
              </w:rPr>
              <w:t>昌江</w:t>
            </w:r>
            <w:r>
              <w:rPr>
                <w:rFonts w:hint="eastAsia" w:ascii="宋体" w:hAnsi="宋体" w:eastAsia="宋体"/>
                <w:sz w:val="21"/>
                <w:szCs w:val="21"/>
              </w:rPr>
              <w:t>黎族自治县人民检察院</w:t>
            </w:r>
          </w:p>
        </w:tc>
        <w:tc>
          <w:tcPr>
            <w:tcW w:w="1263" w:type="dxa"/>
            <w:gridSpan w:val="3"/>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93</w:t>
            </w:r>
          </w:p>
        </w:tc>
        <w:tc>
          <w:tcPr>
            <w:tcW w:w="1740" w:type="dxa"/>
            <w:gridSpan w:val="3"/>
            <w:vAlign w:val="center"/>
          </w:tcPr>
          <w:p>
            <w:pPr>
              <w:spacing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685"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林道智</w:t>
            </w:r>
          </w:p>
        </w:tc>
        <w:tc>
          <w:tcPr>
            <w:tcW w:w="1557" w:type="dxa"/>
            <w:gridSpan w:val="4"/>
            <w:vAlign w:val="center"/>
          </w:tcPr>
          <w:p>
            <w:pPr>
              <w:spacing w:line="280" w:lineRule="exact"/>
              <w:ind w:left="210" w:hanging="210" w:hangingChars="100"/>
              <w:rPr>
                <w:rFonts w:ascii="宋体" w:hAnsi="宋体" w:eastAsia="宋体"/>
                <w:sz w:val="21"/>
                <w:szCs w:val="21"/>
              </w:rPr>
            </w:pPr>
            <w:r>
              <w:rPr>
                <w:rFonts w:hint="eastAsia" w:ascii="宋体" w:hAnsi="宋体" w:eastAsia="宋体"/>
                <w:sz w:val="21"/>
                <w:szCs w:val="21"/>
              </w:rPr>
              <w:t>综合管理部</w:t>
            </w:r>
          </w:p>
          <w:p>
            <w:pPr>
              <w:spacing w:line="280" w:lineRule="exact"/>
              <w:ind w:left="211" w:leftChars="66" w:firstLine="210" w:firstLineChars="100"/>
              <w:rPr>
                <w:rFonts w:ascii="宋体" w:hAnsi="宋体" w:eastAsia="宋体"/>
                <w:sz w:val="21"/>
                <w:szCs w:val="21"/>
              </w:rPr>
            </w:pPr>
            <w:r>
              <w:rPr>
                <w:rFonts w:hint="eastAsia" w:ascii="宋体" w:hAnsi="宋体" w:eastAsia="宋体"/>
                <w:sz w:val="21"/>
                <w:szCs w:val="21"/>
              </w:rPr>
              <w:t>主任</w:t>
            </w:r>
          </w:p>
        </w:tc>
        <w:tc>
          <w:tcPr>
            <w:tcW w:w="2598"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lang w:eastAsia="zh-CN"/>
              </w:rPr>
              <w:t>昌江</w:t>
            </w:r>
            <w:r>
              <w:rPr>
                <w:rFonts w:hint="eastAsia" w:ascii="宋体" w:hAnsi="宋体" w:eastAsia="宋体"/>
                <w:sz w:val="21"/>
                <w:szCs w:val="21"/>
              </w:rPr>
              <w:t>黎族自治县人民检察院</w:t>
            </w:r>
          </w:p>
        </w:tc>
        <w:tc>
          <w:tcPr>
            <w:tcW w:w="1263" w:type="dxa"/>
            <w:gridSpan w:val="3"/>
            <w:vAlign w:val="center"/>
          </w:tcPr>
          <w:p>
            <w:pPr>
              <w:spacing w:line="280" w:lineRule="exact"/>
              <w:jc w:val="center"/>
              <w:rPr>
                <w:rFonts w:hint="default" w:ascii="宋体" w:hAnsi="宋体" w:eastAsia="宋体"/>
                <w:sz w:val="21"/>
                <w:szCs w:val="21"/>
                <w:lang w:val="en-US" w:eastAsia="zh-CN"/>
              </w:rPr>
            </w:pPr>
            <w:r>
              <w:rPr>
                <w:rFonts w:hint="eastAsia" w:ascii="宋体" w:hAnsi="宋体" w:eastAsia="宋体"/>
                <w:sz w:val="21"/>
                <w:szCs w:val="21"/>
                <w:lang w:val="en-US" w:eastAsia="zh-CN"/>
              </w:rPr>
              <w:t>95</w:t>
            </w:r>
          </w:p>
        </w:tc>
        <w:tc>
          <w:tcPr>
            <w:tcW w:w="1740" w:type="dxa"/>
            <w:gridSpan w:val="3"/>
            <w:vAlign w:val="center"/>
          </w:tcPr>
          <w:p>
            <w:pPr>
              <w:spacing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715"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杨祥华</w:t>
            </w:r>
          </w:p>
        </w:tc>
        <w:tc>
          <w:tcPr>
            <w:tcW w:w="1557"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四级主任科员</w:t>
            </w:r>
          </w:p>
        </w:tc>
        <w:tc>
          <w:tcPr>
            <w:tcW w:w="2598"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lang w:eastAsia="zh-CN"/>
              </w:rPr>
              <w:t>昌江</w:t>
            </w:r>
            <w:r>
              <w:rPr>
                <w:rFonts w:hint="eastAsia" w:ascii="宋体" w:hAnsi="宋体" w:eastAsia="宋体"/>
                <w:sz w:val="21"/>
                <w:szCs w:val="21"/>
              </w:rPr>
              <w:t>黎族自治县人民检察院</w:t>
            </w:r>
          </w:p>
        </w:tc>
        <w:tc>
          <w:tcPr>
            <w:tcW w:w="1263" w:type="dxa"/>
            <w:gridSpan w:val="3"/>
            <w:vAlign w:val="center"/>
          </w:tcPr>
          <w:p>
            <w:pPr>
              <w:spacing w:line="280" w:lineRule="exact"/>
              <w:jc w:val="center"/>
              <w:rPr>
                <w:rFonts w:hint="default" w:ascii="宋体" w:hAnsi="宋体" w:eastAsia="宋体"/>
                <w:sz w:val="21"/>
                <w:szCs w:val="21"/>
                <w:lang w:val="en-US"/>
              </w:rPr>
            </w:pPr>
            <w:r>
              <w:rPr>
                <w:rFonts w:hint="eastAsia" w:ascii="宋体" w:hAnsi="宋体" w:eastAsia="宋体"/>
                <w:sz w:val="21"/>
                <w:szCs w:val="21"/>
                <w:lang w:val="en-US" w:eastAsia="zh-CN"/>
              </w:rPr>
              <w:t>94</w:t>
            </w:r>
          </w:p>
        </w:tc>
        <w:tc>
          <w:tcPr>
            <w:tcW w:w="1740" w:type="dxa"/>
            <w:gridSpan w:val="3"/>
            <w:vAlign w:val="center"/>
          </w:tcPr>
          <w:p>
            <w:pPr>
              <w:spacing w:line="280" w:lineRule="exact"/>
              <w:jc w:val="center"/>
              <w:rPr>
                <w:rFonts w:ascii="宋体" w:hAnsi="宋体" w:eastAsia="宋体"/>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700" w:hRule="atLeast"/>
          <w:jc w:val="center"/>
        </w:trPr>
        <w:tc>
          <w:tcPr>
            <w:tcW w:w="1605" w:type="dxa"/>
            <w:gridSpan w:val="3"/>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符传越</w:t>
            </w:r>
          </w:p>
        </w:tc>
        <w:tc>
          <w:tcPr>
            <w:tcW w:w="1557" w:type="dxa"/>
            <w:gridSpan w:val="4"/>
            <w:vAlign w:val="center"/>
          </w:tcPr>
          <w:p>
            <w:pPr>
              <w:spacing w:line="280" w:lineRule="exact"/>
              <w:jc w:val="center"/>
              <w:rPr>
                <w:rFonts w:hint="eastAsia" w:ascii="宋体" w:hAnsi="宋体" w:eastAsia="宋体"/>
                <w:sz w:val="21"/>
                <w:szCs w:val="21"/>
                <w:lang w:eastAsia="zh-CN"/>
              </w:rPr>
            </w:pPr>
            <w:r>
              <w:rPr>
                <w:rFonts w:hint="eastAsia" w:ascii="宋体" w:hAnsi="宋体" w:eastAsia="宋体"/>
                <w:sz w:val="21"/>
                <w:szCs w:val="21"/>
                <w:lang w:eastAsia="zh-CN"/>
              </w:rPr>
              <w:t>科员</w:t>
            </w:r>
          </w:p>
        </w:tc>
        <w:tc>
          <w:tcPr>
            <w:tcW w:w="2598" w:type="dxa"/>
            <w:gridSpan w:val="6"/>
            <w:vAlign w:val="center"/>
          </w:tcPr>
          <w:p>
            <w:pPr>
              <w:spacing w:line="280" w:lineRule="exact"/>
              <w:jc w:val="center"/>
              <w:rPr>
                <w:rFonts w:ascii="宋体" w:hAnsi="宋体" w:eastAsia="宋体"/>
                <w:sz w:val="21"/>
                <w:szCs w:val="21"/>
              </w:rPr>
            </w:pPr>
            <w:r>
              <w:rPr>
                <w:rFonts w:hint="eastAsia" w:ascii="宋体" w:hAnsi="宋体" w:eastAsia="宋体"/>
                <w:sz w:val="21"/>
                <w:szCs w:val="21"/>
                <w:lang w:eastAsia="zh-CN"/>
              </w:rPr>
              <w:t>昌江</w:t>
            </w:r>
            <w:r>
              <w:rPr>
                <w:rFonts w:hint="eastAsia" w:ascii="宋体" w:hAnsi="宋体" w:eastAsia="宋体"/>
                <w:sz w:val="21"/>
                <w:szCs w:val="21"/>
              </w:rPr>
              <w:t>黎族自治县人民检察院</w:t>
            </w:r>
          </w:p>
        </w:tc>
        <w:tc>
          <w:tcPr>
            <w:tcW w:w="1263" w:type="dxa"/>
            <w:gridSpan w:val="3"/>
            <w:vAlign w:val="center"/>
          </w:tcPr>
          <w:p>
            <w:pPr>
              <w:spacing w:line="280" w:lineRule="exact"/>
              <w:jc w:val="center"/>
              <w:rPr>
                <w:rFonts w:hint="default" w:ascii="宋体" w:hAnsi="宋体" w:eastAsia="宋体"/>
                <w:sz w:val="21"/>
                <w:szCs w:val="21"/>
                <w:lang w:val="en-US"/>
              </w:rPr>
            </w:pPr>
            <w:r>
              <w:rPr>
                <w:rFonts w:hint="eastAsia" w:ascii="宋体" w:hAnsi="宋体" w:eastAsia="宋体"/>
                <w:sz w:val="21"/>
                <w:szCs w:val="21"/>
                <w:lang w:val="en-US" w:eastAsia="zh-CN"/>
              </w:rPr>
              <w:t>94</w:t>
            </w:r>
          </w:p>
        </w:tc>
        <w:tc>
          <w:tcPr>
            <w:tcW w:w="1740" w:type="dxa"/>
            <w:gridSpan w:val="3"/>
            <w:vAlign w:val="center"/>
          </w:tcPr>
          <w:p>
            <w:pPr>
              <w:spacing w:line="2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6525" w:hRule="atLeast"/>
          <w:jc w:val="center"/>
        </w:trPr>
        <w:tc>
          <w:tcPr>
            <w:tcW w:w="8763" w:type="dxa"/>
            <w:gridSpan w:val="19"/>
            <w:tcBorders>
              <w:bottom w:val="single" w:color="auto" w:sz="4" w:space="0"/>
            </w:tcBorders>
            <w:vAlign w:val="center"/>
          </w:tcPr>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r>
              <w:rPr>
                <w:rFonts w:hint="eastAsia" w:ascii="宋体" w:hAnsi="宋体" w:eastAsia="宋体"/>
                <w:sz w:val="21"/>
                <w:szCs w:val="21"/>
              </w:rPr>
              <w:t>评价工作组组长（签字）：</w:t>
            </w:r>
          </w:p>
          <w:p>
            <w:pPr>
              <w:spacing w:line="280" w:lineRule="exact"/>
              <w:rPr>
                <w:rFonts w:ascii="宋体" w:hAnsi="宋体" w:eastAsia="宋体"/>
                <w:sz w:val="21"/>
                <w:szCs w:val="21"/>
              </w:rPr>
            </w:pPr>
          </w:p>
          <w:p>
            <w:pPr>
              <w:spacing w:line="280" w:lineRule="exact"/>
              <w:rPr>
                <w:rFonts w:ascii="宋体" w:hAnsi="宋体" w:eastAsia="宋体"/>
                <w:sz w:val="21"/>
                <w:szCs w:val="21"/>
              </w:rPr>
            </w:pPr>
          </w:p>
          <w:p>
            <w:pPr>
              <w:spacing w:line="280" w:lineRule="exact"/>
              <w:rPr>
                <w:rFonts w:ascii="宋体" w:hAnsi="宋体" w:eastAsia="宋体"/>
                <w:sz w:val="21"/>
                <w:szCs w:val="21"/>
              </w:rPr>
            </w:pPr>
          </w:p>
          <w:p>
            <w:pPr>
              <w:spacing w:line="280" w:lineRule="exact"/>
              <w:rPr>
                <w:rFonts w:ascii="宋体" w:hAnsi="宋体" w:eastAsia="宋体"/>
                <w:sz w:val="21"/>
                <w:szCs w:val="21"/>
              </w:rPr>
            </w:pPr>
          </w:p>
          <w:p>
            <w:pPr>
              <w:spacing w:line="280" w:lineRule="exact"/>
              <w:rPr>
                <w:rFonts w:ascii="宋体" w:hAnsi="宋体" w:eastAsia="宋体"/>
                <w:sz w:val="21"/>
                <w:szCs w:val="21"/>
              </w:rPr>
            </w:pPr>
          </w:p>
          <w:p>
            <w:pPr>
              <w:spacing w:line="280" w:lineRule="exact"/>
              <w:rPr>
                <w:rFonts w:ascii="宋体" w:hAnsi="宋体" w:eastAsia="宋体"/>
                <w:sz w:val="21"/>
                <w:szCs w:val="21"/>
              </w:rPr>
            </w:pPr>
          </w:p>
          <w:p>
            <w:pPr>
              <w:spacing w:line="280" w:lineRule="exact"/>
              <w:rPr>
                <w:rFonts w:ascii="宋体" w:hAnsi="宋体" w:eastAsia="宋体"/>
                <w:sz w:val="21"/>
                <w:szCs w:val="21"/>
              </w:rPr>
            </w:pPr>
          </w:p>
          <w:p>
            <w:pPr>
              <w:spacing w:line="280" w:lineRule="exact"/>
              <w:jc w:val="center"/>
              <w:rPr>
                <w:rFonts w:ascii="宋体" w:hAnsi="宋体" w:eastAsia="宋体"/>
                <w:sz w:val="21"/>
                <w:szCs w:val="21"/>
              </w:rPr>
            </w:pPr>
            <w:r>
              <w:rPr>
                <w:rFonts w:hint="eastAsia" w:ascii="宋体" w:hAnsi="宋体" w:eastAsia="宋体"/>
                <w:sz w:val="21"/>
                <w:szCs w:val="21"/>
              </w:rPr>
              <w:t>项目单位负责人（签字并单位盖章）：</w:t>
            </w: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p>
          <w:p>
            <w:pPr>
              <w:spacing w:line="280" w:lineRule="exact"/>
              <w:jc w:val="center"/>
              <w:rPr>
                <w:rFonts w:ascii="宋体" w:hAnsi="宋体" w:eastAsia="宋体"/>
                <w:sz w:val="21"/>
                <w:szCs w:val="21"/>
              </w:rPr>
            </w:pPr>
            <w:r>
              <w:rPr>
                <w:rFonts w:hint="eastAsia" w:ascii="宋体" w:hAnsi="宋体" w:eastAsia="宋体"/>
                <w:sz w:val="21"/>
                <w:szCs w:val="21"/>
              </w:rPr>
              <w:t>年    月   日</w:t>
            </w:r>
          </w:p>
        </w:tc>
      </w:tr>
    </w:tbl>
    <w:p>
      <w:pPr>
        <w:spacing w:line="578" w:lineRule="exact"/>
        <w:rPr>
          <w:rFonts w:ascii="宋体" w:hAnsi="宋体" w:eastAsia="宋体"/>
          <w:sz w:val="28"/>
          <w:szCs w:val="28"/>
        </w:rPr>
      </w:pPr>
    </w:p>
    <w:p>
      <w:pPr>
        <w:spacing w:line="578" w:lineRule="exact"/>
        <w:rPr>
          <w:rFonts w:ascii="宋体" w:hAnsi="宋体" w:eastAsia="宋体"/>
          <w:sz w:val="28"/>
          <w:szCs w:val="28"/>
        </w:rPr>
      </w:pPr>
    </w:p>
    <w:p>
      <w:pPr>
        <w:spacing w:line="578" w:lineRule="exact"/>
        <w:rPr>
          <w:rFonts w:ascii="宋体" w:hAnsi="宋体" w:eastAsia="宋体"/>
          <w:szCs w:val="32"/>
        </w:rPr>
      </w:pPr>
    </w:p>
    <w:p>
      <w:pPr>
        <w:spacing w:line="578" w:lineRule="exact"/>
        <w:rPr>
          <w:rFonts w:ascii="宋体" w:hAnsi="宋体" w:eastAsia="宋体"/>
          <w:szCs w:val="32"/>
        </w:rPr>
      </w:pPr>
    </w:p>
    <w:p>
      <w:pPr>
        <w:spacing w:line="578" w:lineRule="exact"/>
        <w:jc w:val="left"/>
        <w:rPr>
          <w:rFonts w:ascii="黑体" w:hAnsi="仿宋_GB2312" w:eastAsia="黑体"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jc w:val="center"/>
        <w:rPr>
          <w:rFonts w:hint="eastAsia" w:ascii="宋体" w:hAnsi="宋体" w:eastAsia="宋体"/>
          <w:b/>
          <w:bCs/>
          <w:color w:val="000000"/>
          <w:sz w:val="44"/>
          <w:szCs w:val="44"/>
        </w:rPr>
      </w:pPr>
    </w:p>
    <w:p>
      <w:pPr>
        <w:spacing w:line="578" w:lineRule="exact"/>
        <w:ind w:firstLine="640" w:firstLineChars="200"/>
        <w:outlineLvl w:val="0"/>
        <w:rPr>
          <w:rFonts w:hint="eastAsia" w:ascii="仿宋_GB2312" w:hAnsi="仿宋_GB2312" w:eastAsia="仿宋_GB2312" w:cs="仿宋_GB2312"/>
          <w:color w:val="000000"/>
        </w:rPr>
      </w:pPr>
      <w:r>
        <w:rPr>
          <w:rFonts w:hint="eastAsia" w:ascii="仿宋_GB2312" w:hAnsi="仿宋_GB2312" w:eastAsia="仿宋_GB2312" w:cs="仿宋_GB2312"/>
          <w:color w:val="000000"/>
        </w:rPr>
        <w:t>为深入贯彻落实《中共中央、国务院关于全面实施预算绩效管理意见》要求，加快建成全方位、全过程、全覆盖的预算绩效管理体系，切实增强地方主管部门以及资金使用单位支出绩效意识，提高资金使用效益，促进资源的有效配置，昌江黎族自治县人民检察院（以下简称昌江县院）成立了项目支出绩效评价小组，对我院的</w:t>
      </w:r>
      <w:r>
        <w:rPr>
          <w:rFonts w:hint="eastAsia" w:ascii="仿宋" w:hAnsi="仿宋" w:eastAsia="仿宋"/>
          <w:szCs w:val="32"/>
        </w:rPr>
        <w:t>20</w:t>
      </w:r>
      <w:r>
        <w:rPr>
          <w:rFonts w:hint="eastAsia" w:ascii="仿宋" w:hAnsi="仿宋" w:eastAsia="仿宋"/>
          <w:szCs w:val="32"/>
          <w:lang w:val="en-US" w:eastAsia="zh-CN"/>
        </w:rPr>
        <w:t>22</w:t>
      </w:r>
      <w:r>
        <w:rPr>
          <w:rFonts w:hint="eastAsia" w:ascii="仿宋" w:hAnsi="仿宋" w:eastAsia="仿宋"/>
          <w:szCs w:val="32"/>
        </w:rPr>
        <w:t>年度</w:t>
      </w:r>
      <w:r>
        <w:rPr>
          <w:rFonts w:hint="eastAsia" w:ascii="仿宋" w:hAnsi="仿宋" w:eastAsia="仿宋"/>
          <w:szCs w:val="32"/>
          <w:lang w:eastAsia="zh-CN"/>
        </w:rPr>
        <w:t>行政运行</w:t>
      </w:r>
      <w:r>
        <w:rPr>
          <w:rFonts w:hint="eastAsia" w:ascii="仿宋" w:hAnsi="仿宋" w:eastAsia="仿宋"/>
          <w:szCs w:val="32"/>
        </w:rPr>
        <w:t>项目</w:t>
      </w:r>
      <w:r>
        <w:rPr>
          <w:rFonts w:hint="eastAsia" w:ascii="仿宋_GB2312" w:hAnsi="仿宋_GB2312" w:eastAsia="仿宋_GB2312" w:cs="仿宋_GB2312"/>
          <w:color w:val="000000"/>
        </w:rPr>
        <w:t>，进行了支出绩效评价，具体评价情况如下：</w:t>
      </w:r>
    </w:p>
    <w:p>
      <w:pPr>
        <w:spacing w:line="578" w:lineRule="exact"/>
        <w:ind w:firstLine="640" w:firstLineChars="200"/>
        <w:outlineLvl w:val="0"/>
        <w:rPr>
          <w:rFonts w:ascii="黑体" w:hAnsi="宋体" w:eastAsia="黑体"/>
          <w:bCs/>
          <w:color w:val="000000"/>
        </w:rPr>
      </w:pPr>
      <w:r>
        <w:rPr>
          <w:rFonts w:hint="eastAsia" w:ascii="黑体" w:hAnsi="宋体" w:eastAsia="黑体"/>
          <w:bCs/>
          <w:color w:val="000000"/>
        </w:rPr>
        <w:t>一、项目概况</w:t>
      </w:r>
    </w:p>
    <w:p>
      <w:pPr>
        <w:spacing w:line="578" w:lineRule="exact"/>
        <w:ind w:firstLine="640" w:firstLineChars="200"/>
        <w:outlineLvl w:val="0"/>
        <w:rPr>
          <w:rFonts w:ascii="楷体_GB2312" w:eastAsia="楷体_GB2312"/>
          <w:color w:val="000000"/>
        </w:rPr>
      </w:pPr>
      <w:r>
        <w:rPr>
          <w:rFonts w:hint="eastAsia" w:ascii="楷体_GB2312" w:eastAsia="楷体_GB2312"/>
          <w:color w:val="000000"/>
        </w:rPr>
        <w:t>（一）项目基本性质</w:t>
      </w:r>
    </w:p>
    <w:p>
      <w:pPr>
        <w:ind w:firstLine="640" w:firstLineChars="200"/>
        <w:rPr>
          <w:rFonts w:ascii="仿宋" w:hAnsi="仿宋" w:eastAsia="仿宋"/>
          <w:szCs w:val="32"/>
        </w:rPr>
      </w:pPr>
      <w:r>
        <w:rPr>
          <w:rFonts w:hint="eastAsia" w:ascii="仿宋_GB2312" w:hAnsi="宋体" w:eastAsia="仿宋_GB2312" w:cs="仿宋_GB2312"/>
          <w:sz w:val="32"/>
          <w:szCs w:val="20"/>
        </w:rPr>
        <w:t>“20</w:t>
      </w:r>
      <w:r>
        <w:rPr>
          <w:rFonts w:hint="eastAsia" w:ascii="仿宋_GB2312" w:hAnsi="宋体" w:eastAsia="仿宋_GB2312" w:cs="仿宋_GB2312"/>
          <w:sz w:val="32"/>
          <w:szCs w:val="20"/>
          <w:lang w:val="en-US" w:eastAsia="zh-CN"/>
        </w:rPr>
        <w:t>22</w:t>
      </w:r>
      <w:r>
        <w:rPr>
          <w:rFonts w:hint="eastAsia" w:ascii="仿宋_GB2312" w:hAnsi="宋体" w:eastAsia="仿宋_GB2312" w:cs="仿宋_GB2312"/>
          <w:sz w:val="32"/>
          <w:szCs w:val="20"/>
        </w:rPr>
        <w:t>年度</w:t>
      </w:r>
      <w:r>
        <w:rPr>
          <w:rFonts w:hint="eastAsia" w:ascii="仿宋_GB2312" w:hAnsi="宋体" w:eastAsia="仿宋_GB2312" w:cs="仿宋_GB2312"/>
          <w:sz w:val="32"/>
          <w:szCs w:val="20"/>
          <w:lang w:eastAsia="zh-CN"/>
        </w:rPr>
        <w:t>行政运行</w:t>
      </w:r>
      <w:r>
        <w:rPr>
          <w:rFonts w:hint="eastAsia" w:ascii="仿宋_GB2312" w:hAnsi="宋体" w:eastAsia="仿宋_GB2312" w:cs="仿宋_GB2312"/>
          <w:sz w:val="32"/>
          <w:szCs w:val="20"/>
        </w:rPr>
        <w:t>项目”包括物业管理费、</w:t>
      </w:r>
      <w:r>
        <w:rPr>
          <w:rFonts w:hint="eastAsia" w:hAnsi="宋体" w:cs="仿宋_GB2312"/>
          <w:sz w:val="32"/>
          <w:szCs w:val="20"/>
          <w:lang w:eastAsia="zh-CN"/>
        </w:rPr>
        <w:t>劳务派遣费、</w:t>
      </w:r>
      <w:r>
        <w:rPr>
          <w:rFonts w:hint="eastAsia" w:ascii="仿宋_GB2312" w:hAnsi="宋体" w:eastAsia="仿宋_GB2312" w:cs="仿宋_GB2312"/>
          <w:sz w:val="32"/>
          <w:szCs w:val="20"/>
        </w:rPr>
        <w:t>办公费、差旅费、邮电费、维修(护）费、宣传广告费、培训费等综合</w:t>
      </w:r>
      <w:r>
        <w:rPr>
          <w:rFonts w:hint="eastAsia" w:hAnsi="宋体" w:cs="仿宋_GB2312"/>
          <w:sz w:val="32"/>
          <w:szCs w:val="20"/>
          <w:lang w:eastAsia="zh-CN"/>
        </w:rPr>
        <w:t>事务</w:t>
      </w:r>
      <w:r>
        <w:rPr>
          <w:rFonts w:hint="eastAsia" w:ascii="仿宋_GB2312" w:hAnsi="宋体" w:eastAsia="仿宋_GB2312" w:cs="仿宋_GB2312"/>
          <w:sz w:val="32"/>
          <w:szCs w:val="20"/>
        </w:rPr>
        <w:t>管理工作。是为保障检察院</w:t>
      </w:r>
      <w:r>
        <w:rPr>
          <w:rFonts w:hint="eastAsia" w:hAnsi="宋体" w:cs="仿宋_GB2312"/>
          <w:sz w:val="32"/>
          <w:szCs w:val="20"/>
          <w:lang w:eastAsia="zh-CN"/>
        </w:rPr>
        <w:t>办案业务</w:t>
      </w:r>
      <w:r>
        <w:rPr>
          <w:rFonts w:hint="eastAsia" w:ascii="仿宋_GB2312" w:hAnsi="宋体" w:eastAsia="仿宋_GB2312" w:cs="仿宋_GB2312"/>
          <w:sz w:val="32"/>
          <w:szCs w:val="20"/>
        </w:rPr>
        <w:t>工作顺利开展而服务的，其目的在于做好</w:t>
      </w:r>
      <w:r>
        <w:rPr>
          <w:rFonts w:hint="eastAsia" w:hAnsi="宋体" w:cs="仿宋_GB2312"/>
          <w:sz w:val="32"/>
          <w:szCs w:val="20"/>
          <w:lang w:eastAsia="zh-CN"/>
        </w:rPr>
        <w:t>办案业务</w:t>
      </w:r>
      <w:r>
        <w:rPr>
          <w:rFonts w:hint="eastAsia" w:ascii="仿宋_GB2312" w:hAnsi="宋体" w:eastAsia="仿宋_GB2312" w:cs="仿宋_GB2312"/>
          <w:sz w:val="32"/>
          <w:szCs w:val="20"/>
        </w:rPr>
        <w:t>的后勤保障工作，是基层检察院的日常管理工作。</w:t>
      </w:r>
    </w:p>
    <w:p>
      <w:pPr>
        <w:spacing w:line="578" w:lineRule="exact"/>
        <w:ind w:firstLine="640" w:firstLineChars="200"/>
        <w:outlineLvl w:val="0"/>
        <w:rPr>
          <w:rFonts w:ascii="楷体_GB2312" w:eastAsia="楷体_GB2312"/>
          <w:color w:val="000000"/>
        </w:rPr>
      </w:pPr>
      <w:r>
        <w:rPr>
          <w:rFonts w:hint="eastAsia" w:ascii="楷体_GB2312" w:eastAsia="楷体_GB2312"/>
          <w:color w:val="000000"/>
        </w:rPr>
        <w:t>（二）项目绩效目标</w:t>
      </w:r>
    </w:p>
    <w:p>
      <w:pPr>
        <w:spacing w:line="520" w:lineRule="exact"/>
        <w:ind w:firstLine="640" w:firstLineChars="200"/>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rPr>
        <w:t>1.</w:t>
      </w:r>
      <w:r>
        <w:rPr>
          <w:rFonts w:hint="eastAsia" w:ascii="仿宋_GB2312" w:hAnsi="仿宋_GB2312" w:eastAsia="仿宋_GB2312" w:cs="仿宋_GB2312"/>
          <w:szCs w:val="32"/>
          <w:lang w:eastAsia="zh-CN"/>
        </w:rPr>
        <w:t>保障干警检察业务出差人数</w:t>
      </w:r>
      <w:r>
        <w:rPr>
          <w:rFonts w:hint="eastAsia" w:ascii="仿宋_GB2312" w:hAnsi="仿宋_GB2312" w:eastAsia="仿宋_GB2312" w:cs="仿宋_GB2312"/>
          <w:szCs w:val="32"/>
        </w:rPr>
        <w:t>大于等于</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人</w:t>
      </w:r>
      <w:r>
        <w:rPr>
          <w:rFonts w:hint="eastAsia" w:ascii="仿宋_GB2312" w:hAnsi="仿宋_GB2312" w:eastAsia="仿宋_GB2312" w:cs="仿宋_GB2312"/>
          <w:szCs w:val="32"/>
          <w:lang w:val="en-US" w:eastAsia="zh-CN"/>
        </w:rPr>
        <w:t>/次，</w:t>
      </w:r>
      <w:r>
        <w:rPr>
          <w:rFonts w:hint="eastAsia" w:ascii="仿宋_GB2312" w:hAnsi="仿宋_GB2312" w:eastAsia="仿宋_GB2312" w:cs="仿宋_GB2312"/>
          <w:szCs w:val="32"/>
          <w:lang w:eastAsia="zh-CN"/>
        </w:rPr>
        <w:t>人数明显比去年提高；省内检察业务培训学习人数</w:t>
      </w:r>
      <w:r>
        <w:rPr>
          <w:rFonts w:hint="eastAsia" w:ascii="仿宋_GB2312" w:hAnsi="仿宋_GB2312" w:eastAsia="仿宋_GB2312" w:cs="仿宋_GB2312"/>
          <w:szCs w:val="32"/>
          <w:lang w:val="en-US" w:eastAsia="zh-CN"/>
        </w:rPr>
        <w:t>5人/次</w:t>
      </w:r>
      <w:r>
        <w:rPr>
          <w:rFonts w:hint="eastAsia" w:ascii="仿宋_GB2312" w:hAnsi="仿宋_GB2312" w:eastAsia="仿宋_GB2312" w:cs="仿宋_GB2312"/>
          <w:szCs w:val="32"/>
        </w:rPr>
        <w:t>;</w:t>
      </w:r>
      <w:r>
        <w:rPr>
          <w:rFonts w:hint="eastAsia" w:hAnsi="仿宋_GB2312" w:cs="仿宋_GB2312"/>
          <w:szCs w:val="32"/>
          <w:lang w:eastAsia="zh-CN"/>
        </w:rPr>
        <w:t>劳务派遣人员工资足额发放率</w:t>
      </w:r>
      <w:r>
        <w:rPr>
          <w:rFonts w:hint="eastAsia" w:hAnsi="仿宋_GB2312" w:cs="仿宋_GB2312"/>
          <w:szCs w:val="32"/>
          <w:lang w:val="en-US" w:eastAsia="zh-CN"/>
        </w:rPr>
        <w:t>95%以上；检察业务宣传效果明显95%以上；业务培训干警满意度95%以上。</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2、无跨年度项目绩效总目标及无跨年度项目绩效阶段性目标</w:t>
      </w:r>
    </w:p>
    <w:p>
      <w:pPr>
        <w:spacing w:line="578" w:lineRule="exact"/>
        <w:outlineLvl w:val="0"/>
        <w:rPr>
          <w:rFonts w:ascii="黑体" w:eastAsia="黑体"/>
          <w:bCs/>
          <w:color w:val="000000"/>
        </w:rPr>
      </w:pPr>
      <w:r>
        <w:rPr>
          <w:rFonts w:hint="eastAsia" w:ascii="黑体" w:eastAsia="黑体"/>
          <w:color w:val="000000"/>
        </w:rPr>
        <w:t xml:space="preserve">    二、</w:t>
      </w:r>
      <w:r>
        <w:rPr>
          <w:rFonts w:hint="eastAsia" w:ascii="黑体" w:eastAsia="黑体"/>
          <w:bCs/>
          <w:color w:val="000000"/>
        </w:rPr>
        <w:t>项目资金使用及管理情况</w:t>
      </w:r>
    </w:p>
    <w:p>
      <w:pPr>
        <w:spacing w:line="520" w:lineRule="exact"/>
        <w:ind w:firstLine="640" w:firstLineChars="200"/>
        <w:rPr>
          <w:rFonts w:ascii="仿宋" w:hAnsi="仿宋" w:eastAsia="仿宋"/>
          <w:szCs w:val="32"/>
        </w:rPr>
      </w:pPr>
      <w:r>
        <w:rPr>
          <w:rFonts w:hint="eastAsia" w:ascii="仿宋" w:hAnsi="仿宋" w:eastAsia="仿宋"/>
          <w:szCs w:val="32"/>
        </w:rPr>
        <w:t>（一）20</w:t>
      </w:r>
      <w:r>
        <w:rPr>
          <w:rFonts w:hint="eastAsia" w:ascii="仿宋" w:hAnsi="仿宋" w:eastAsia="仿宋"/>
          <w:szCs w:val="32"/>
          <w:lang w:val="en-US" w:eastAsia="zh-CN"/>
        </w:rPr>
        <w:t>22</w:t>
      </w:r>
      <w:r>
        <w:rPr>
          <w:rFonts w:hint="eastAsia" w:ascii="仿宋" w:hAnsi="仿宋" w:eastAsia="仿宋"/>
          <w:szCs w:val="32"/>
        </w:rPr>
        <w:t>年</w:t>
      </w:r>
      <w:r>
        <w:rPr>
          <w:rFonts w:hint="eastAsia" w:ascii="仿宋" w:hAnsi="仿宋" w:eastAsia="仿宋"/>
          <w:szCs w:val="32"/>
          <w:lang w:eastAsia="zh-CN"/>
        </w:rPr>
        <w:t>行政运行</w:t>
      </w:r>
      <w:r>
        <w:rPr>
          <w:rFonts w:hint="eastAsia" w:ascii="仿宋" w:hAnsi="仿宋" w:eastAsia="仿宋"/>
          <w:szCs w:val="32"/>
        </w:rPr>
        <w:t>经费项目，下达的批复安排项目经费</w:t>
      </w:r>
      <w:r>
        <w:rPr>
          <w:rFonts w:hint="eastAsia" w:ascii="仿宋" w:hAnsi="仿宋" w:eastAsia="仿宋"/>
          <w:szCs w:val="32"/>
          <w:lang w:val="en-US" w:eastAsia="zh-CN"/>
        </w:rPr>
        <w:t>106.82</w:t>
      </w:r>
      <w:r>
        <w:rPr>
          <w:rFonts w:hint="eastAsia" w:ascii="仿宋" w:hAnsi="仿宋" w:eastAsia="仿宋"/>
          <w:szCs w:val="32"/>
        </w:rPr>
        <w:t>万元，项目资金到位率100%。</w:t>
      </w:r>
    </w:p>
    <w:p>
      <w:pPr>
        <w:spacing w:line="578" w:lineRule="exact"/>
        <w:ind w:firstLine="640" w:firstLineChars="200"/>
        <w:rPr>
          <w:rFonts w:ascii="楷体_GB2312" w:eastAsia="楷体_GB2312"/>
          <w:szCs w:val="32"/>
        </w:rPr>
      </w:pPr>
      <w:r>
        <w:rPr>
          <w:rFonts w:hint="eastAsia" w:ascii="楷体_GB2312" w:eastAsia="楷体_GB2312"/>
          <w:szCs w:val="32"/>
        </w:rPr>
        <w:t>（二）项目资金使用情况</w:t>
      </w:r>
    </w:p>
    <w:p>
      <w:pPr>
        <w:spacing w:line="520" w:lineRule="exact"/>
        <w:ind w:firstLine="640" w:firstLineChars="200"/>
        <w:rPr>
          <w:rFonts w:ascii="仿宋" w:hAnsi="仿宋" w:eastAsia="仿宋"/>
          <w:color w:val="000000"/>
          <w:szCs w:val="32"/>
          <w:highlight w:val="none"/>
        </w:rPr>
      </w:pPr>
      <w:r>
        <w:rPr>
          <w:rFonts w:hint="eastAsia" w:ascii="仿宋" w:hAnsi="仿宋" w:eastAsia="仿宋"/>
          <w:color w:val="000000"/>
          <w:szCs w:val="32"/>
        </w:rPr>
        <w:t>20</w:t>
      </w:r>
      <w:r>
        <w:rPr>
          <w:rFonts w:hint="eastAsia" w:ascii="仿宋" w:hAnsi="仿宋" w:eastAsia="仿宋"/>
          <w:color w:val="000000"/>
          <w:szCs w:val="32"/>
          <w:lang w:val="en-US" w:eastAsia="zh-CN"/>
        </w:rPr>
        <w:t>22</w:t>
      </w:r>
      <w:r>
        <w:rPr>
          <w:rFonts w:hint="eastAsia" w:ascii="仿宋" w:hAnsi="仿宋" w:eastAsia="仿宋"/>
          <w:color w:val="000000"/>
          <w:szCs w:val="32"/>
        </w:rPr>
        <w:t>年度</w:t>
      </w:r>
      <w:r>
        <w:rPr>
          <w:rFonts w:hint="eastAsia" w:ascii="仿宋" w:hAnsi="仿宋" w:eastAsia="仿宋"/>
          <w:color w:val="000000"/>
          <w:szCs w:val="32"/>
          <w:lang w:eastAsia="zh-CN"/>
        </w:rPr>
        <w:t>行政运行</w:t>
      </w:r>
      <w:r>
        <w:rPr>
          <w:rFonts w:hint="eastAsia" w:ascii="仿宋" w:hAnsi="仿宋" w:eastAsia="仿宋"/>
          <w:color w:val="000000"/>
          <w:szCs w:val="32"/>
        </w:rPr>
        <w:t>项目经费实际支出</w:t>
      </w:r>
      <w:r>
        <w:rPr>
          <w:rFonts w:hint="eastAsia" w:ascii="仿宋" w:hAnsi="仿宋" w:eastAsia="仿宋"/>
          <w:color w:val="000000"/>
          <w:szCs w:val="32"/>
          <w:lang w:val="en-US" w:eastAsia="zh-CN"/>
        </w:rPr>
        <w:t>106.82</w:t>
      </w:r>
      <w:r>
        <w:rPr>
          <w:rFonts w:hint="eastAsia" w:ascii="仿宋" w:hAnsi="仿宋" w:eastAsia="仿宋"/>
          <w:color w:val="000000"/>
          <w:szCs w:val="32"/>
        </w:rPr>
        <w:t>万元，</w:t>
      </w:r>
      <w:r>
        <w:rPr>
          <w:rFonts w:hint="eastAsia" w:ascii="仿宋" w:hAnsi="仿宋" w:eastAsia="仿宋"/>
          <w:color w:val="000000"/>
          <w:szCs w:val="32"/>
          <w:highlight w:val="none"/>
        </w:rPr>
        <w:t>其中</w:t>
      </w:r>
      <w:r>
        <w:rPr>
          <w:rFonts w:hint="eastAsia" w:ascii="仿宋" w:hAnsi="仿宋" w:eastAsia="仿宋"/>
          <w:color w:val="000000"/>
          <w:szCs w:val="32"/>
          <w:highlight w:val="none"/>
          <w:lang w:eastAsia="zh-CN"/>
        </w:rPr>
        <w:t>办公费</w:t>
      </w:r>
      <w:r>
        <w:rPr>
          <w:rFonts w:hint="eastAsia" w:ascii="仿宋" w:hAnsi="仿宋" w:eastAsia="仿宋"/>
          <w:color w:val="000000"/>
          <w:szCs w:val="32"/>
          <w:highlight w:val="none"/>
          <w:lang w:val="en-US" w:eastAsia="zh-CN"/>
        </w:rPr>
        <w:t>10.73万元，水费0.45万元，电费5.27万元，维修（护）费15.38万元，</w:t>
      </w:r>
      <w:r>
        <w:rPr>
          <w:rFonts w:hint="eastAsia" w:ascii="仿宋" w:hAnsi="仿宋" w:eastAsia="仿宋"/>
          <w:color w:val="000000"/>
          <w:szCs w:val="32"/>
          <w:highlight w:val="none"/>
        </w:rPr>
        <w:t>差旅费</w:t>
      </w:r>
      <w:r>
        <w:rPr>
          <w:rFonts w:hint="eastAsia" w:ascii="仿宋" w:hAnsi="仿宋" w:eastAsia="仿宋"/>
          <w:color w:val="000000"/>
          <w:szCs w:val="32"/>
          <w:highlight w:val="none"/>
          <w:lang w:val="en-US" w:eastAsia="zh-CN"/>
        </w:rPr>
        <w:t>3.47</w:t>
      </w:r>
      <w:r>
        <w:rPr>
          <w:rFonts w:hint="eastAsia" w:ascii="仿宋" w:hAnsi="仿宋" w:eastAsia="仿宋"/>
          <w:color w:val="000000"/>
          <w:szCs w:val="32"/>
          <w:highlight w:val="none"/>
        </w:rPr>
        <w:t>万元，劳务费</w:t>
      </w:r>
      <w:r>
        <w:rPr>
          <w:rFonts w:hint="eastAsia" w:ascii="仿宋" w:hAnsi="仿宋" w:eastAsia="仿宋"/>
          <w:color w:val="000000"/>
          <w:szCs w:val="32"/>
          <w:highlight w:val="none"/>
          <w:lang w:val="en-US" w:eastAsia="zh-CN"/>
        </w:rPr>
        <w:t>31.29</w:t>
      </w:r>
      <w:r>
        <w:rPr>
          <w:rFonts w:hint="eastAsia" w:ascii="仿宋" w:hAnsi="仿宋" w:eastAsia="仿宋"/>
          <w:color w:val="000000"/>
          <w:szCs w:val="32"/>
          <w:highlight w:val="none"/>
        </w:rPr>
        <w:t>万元，物业管理</w:t>
      </w:r>
      <w:r>
        <w:rPr>
          <w:rFonts w:hint="eastAsia" w:ascii="仿宋" w:hAnsi="仿宋" w:eastAsia="仿宋"/>
          <w:color w:val="000000"/>
          <w:szCs w:val="32"/>
          <w:highlight w:val="none"/>
          <w:lang w:val="en-US" w:eastAsia="zh-CN"/>
        </w:rPr>
        <w:t>,31.48万元</w:t>
      </w:r>
      <w:r>
        <w:rPr>
          <w:rFonts w:hint="eastAsia" w:ascii="仿宋" w:hAnsi="仿宋" w:eastAsia="仿宋"/>
          <w:color w:val="000000"/>
          <w:szCs w:val="32"/>
          <w:highlight w:val="none"/>
          <w:lang w:eastAsia="zh-CN"/>
        </w:rPr>
        <w:t>，专用材料费</w:t>
      </w:r>
      <w:r>
        <w:rPr>
          <w:rFonts w:hint="eastAsia" w:ascii="仿宋" w:hAnsi="仿宋" w:eastAsia="仿宋"/>
          <w:color w:val="000000"/>
          <w:szCs w:val="32"/>
          <w:highlight w:val="none"/>
          <w:lang w:val="en-US" w:eastAsia="zh-CN"/>
        </w:rPr>
        <w:t>0.60万元，培训费0.2万元，租赁费0.15万元，邮电费1.15万元，委托业务费0.1万元，误餐费0.28万元，</w:t>
      </w:r>
      <w:r>
        <w:rPr>
          <w:rFonts w:hint="eastAsia" w:ascii="仿宋" w:hAnsi="仿宋" w:eastAsia="仿宋"/>
          <w:color w:val="000000"/>
          <w:szCs w:val="32"/>
          <w:highlight w:val="none"/>
          <w:lang w:eastAsia="zh-CN"/>
        </w:rPr>
        <w:t>其他商品和服务支出</w:t>
      </w:r>
      <w:r>
        <w:rPr>
          <w:rFonts w:hint="eastAsia" w:ascii="仿宋" w:hAnsi="仿宋" w:eastAsia="仿宋"/>
          <w:color w:val="000000"/>
          <w:szCs w:val="32"/>
          <w:highlight w:val="none"/>
          <w:lang w:val="en-US" w:eastAsia="zh-CN"/>
        </w:rPr>
        <w:t>6.27</w:t>
      </w:r>
      <w:r>
        <w:rPr>
          <w:rFonts w:hint="eastAsia" w:ascii="仿宋" w:hAnsi="仿宋" w:eastAsia="仿宋"/>
          <w:color w:val="000000"/>
          <w:szCs w:val="32"/>
          <w:highlight w:val="none"/>
        </w:rPr>
        <w:t>万元。</w:t>
      </w:r>
    </w:p>
    <w:p>
      <w:pPr>
        <w:spacing w:line="578" w:lineRule="exact"/>
        <w:ind w:firstLine="640" w:firstLineChars="200"/>
        <w:outlineLvl w:val="0"/>
        <w:rPr>
          <w:rFonts w:ascii="楷体_GB2312" w:eastAsia="楷体_GB2312"/>
          <w:szCs w:val="32"/>
        </w:rPr>
      </w:pPr>
      <w:r>
        <w:rPr>
          <w:rFonts w:hint="eastAsia" w:ascii="楷体_GB2312" w:eastAsia="楷体_GB2312"/>
          <w:szCs w:val="32"/>
        </w:rPr>
        <w:t>（三）项目资金管理情况</w:t>
      </w:r>
    </w:p>
    <w:p>
      <w:pPr>
        <w:ind w:firstLine="640" w:firstLineChars="200"/>
        <w:rPr>
          <w:rFonts w:ascii="仿宋" w:hAnsi="仿宋" w:eastAsia="仿宋"/>
          <w:szCs w:val="32"/>
        </w:rPr>
      </w:pPr>
      <w:r>
        <w:rPr>
          <w:rFonts w:hint="eastAsia" w:ascii="仿宋" w:hAnsi="仿宋" w:eastAsia="仿宋"/>
          <w:szCs w:val="32"/>
        </w:rPr>
        <w:t>项目资金统一由财政专库管理，开立零余额存款账户，采用财政授权支付方式支付项目相关款项，</w:t>
      </w:r>
      <w:r>
        <w:rPr>
          <w:rFonts w:hint="eastAsia" w:ascii="仿宋_GB2312" w:hAnsi="宋体" w:eastAsia="仿宋_GB2312" w:cs="仿宋_GB2312"/>
          <w:color w:val="000000"/>
          <w:kern w:val="0"/>
          <w:sz w:val="32"/>
          <w:szCs w:val="20"/>
        </w:rPr>
        <w:t>该项目资金使用过程中，昌江县院严格按照预算批复的要求，在预算范围内使用，专款专用。在资金支付过程中，昌江县院严格按照合同约定支付款项，支付的每一笔款项都按我院财务管理规定办理支付手续，并经国库支付局会计核算站审核，确保了资金支出的合理合规性，资金使用规范。</w:t>
      </w:r>
    </w:p>
    <w:p>
      <w:pPr>
        <w:spacing w:line="578" w:lineRule="exact"/>
        <w:ind w:firstLine="640" w:firstLineChars="200"/>
        <w:rPr>
          <w:rFonts w:ascii="黑体" w:eastAsia="黑体"/>
          <w:bCs/>
          <w:color w:val="000000"/>
        </w:rPr>
      </w:pPr>
      <w:r>
        <w:rPr>
          <w:rFonts w:hint="eastAsia" w:ascii="黑体" w:eastAsia="黑体"/>
          <w:bCs/>
          <w:color w:val="000000"/>
        </w:rPr>
        <w:t>三、项目组织实施情况</w:t>
      </w:r>
    </w:p>
    <w:p>
      <w:pPr>
        <w:spacing w:line="578" w:lineRule="exact"/>
        <w:ind w:firstLine="640" w:firstLineChars="200"/>
        <w:outlineLvl w:val="0"/>
        <w:rPr>
          <w:rFonts w:ascii="楷体_GB2312" w:eastAsia="楷体_GB2312"/>
          <w:bCs/>
          <w:color w:val="000000"/>
          <w:szCs w:val="32"/>
        </w:rPr>
      </w:pPr>
      <w:r>
        <w:rPr>
          <w:rFonts w:hint="eastAsia" w:ascii="楷体_GB2312" w:eastAsia="楷体_GB2312"/>
          <w:bCs/>
          <w:color w:val="000000"/>
          <w:szCs w:val="32"/>
        </w:rPr>
        <w:t>（一）项目组织情况分析</w:t>
      </w:r>
    </w:p>
    <w:p>
      <w:pPr>
        <w:spacing w:line="520" w:lineRule="exact"/>
        <w:ind w:firstLine="640" w:firstLineChars="200"/>
        <w:rPr>
          <w:rFonts w:ascii="仿宋" w:hAnsi="仿宋" w:eastAsia="仿宋"/>
          <w:szCs w:val="32"/>
        </w:rPr>
      </w:pPr>
      <w:r>
        <w:rPr>
          <w:rFonts w:hint="eastAsia" w:ascii="仿宋" w:hAnsi="仿宋" w:eastAsia="仿宋"/>
          <w:szCs w:val="32"/>
        </w:rPr>
        <w:t>为做好</w:t>
      </w:r>
      <w:r>
        <w:rPr>
          <w:rFonts w:hint="eastAsia" w:ascii="仿宋" w:hAnsi="仿宋" w:eastAsia="仿宋"/>
          <w:szCs w:val="32"/>
          <w:lang w:eastAsia="zh-CN"/>
        </w:rPr>
        <w:t>行政运行</w:t>
      </w:r>
      <w:r>
        <w:rPr>
          <w:rFonts w:hint="eastAsia" w:ascii="仿宋" w:hAnsi="仿宋" w:eastAsia="仿宋"/>
          <w:szCs w:val="32"/>
        </w:rPr>
        <w:t>工作，项目单位由单位领导牵头，综合管理部负责协调实施项目各方面的工作，项目分工明确，为项目的快速、顺利进展提供了保证。</w:t>
      </w:r>
    </w:p>
    <w:p>
      <w:pPr>
        <w:spacing w:line="578" w:lineRule="exact"/>
        <w:ind w:firstLine="640" w:firstLineChars="200"/>
        <w:outlineLvl w:val="0"/>
        <w:rPr>
          <w:rFonts w:ascii="楷体_GB2312" w:eastAsia="楷体_GB2312"/>
          <w:bCs/>
          <w:color w:val="000000"/>
          <w:szCs w:val="32"/>
        </w:rPr>
      </w:pPr>
      <w:r>
        <w:rPr>
          <w:rFonts w:hint="eastAsia" w:ascii="楷体_GB2312" w:eastAsia="楷体_GB2312"/>
          <w:bCs/>
          <w:color w:val="000000"/>
          <w:szCs w:val="32"/>
        </w:rPr>
        <w:t>（二）项目管理情况</w:t>
      </w:r>
    </w:p>
    <w:p>
      <w:pPr>
        <w:spacing w:line="520" w:lineRule="exact"/>
        <w:ind w:firstLine="640" w:firstLineChars="200"/>
        <w:rPr>
          <w:rFonts w:ascii="仿宋" w:hAnsi="仿宋" w:eastAsia="仿宋"/>
          <w:szCs w:val="32"/>
        </w:rPr>
      </w:pPr>
      <w:r>
        <w:rPr>
          <w:rFonts w:hint="eastAsia" w:ascii="仿宋" w:hAnsi="仿宋" w:eastAsia="仿宋"/>
          <w:szCs w:val="32"/>
        </w:rPr>
        <w:t>制定项目管理制度和日常监督制度，指定专人负责对项目各方面的工作进行检查、监督管理，确保项目按时按量按质完成。</w:t>
      </w:r>
    </w:p>
    <w:p>
      <w:pPr>
        <w:spacing w:line="578" w:lineRule="exact"/>
        <w:ind w:firstLine="640" w:firstLineChars="200"/>
        <w:outlineLvl w:val="0"/>
        <w:rPr>
          <w:rFonts w:ascii="黑体" w:eastAsia="黑体"/>
          <w:bCs/>
        </w:rPr>
      </w:pPr>
      <w:r>
        <w:rPr>
          <w:rFonts w:hint="eastAsia" w:ascii="黑体" w:eastAsia="黑体"/>
          <w:bCs/>
        </w:rPr>
        <w:t>四、项目绩效情况</w:t>
      </w:r>
    </w:p>
    <w:p>
      <w:pPr>
        <w:spacing w:line="578" w:lineRule="exact"/>
        <w:ind w:firstLine="640" w:firstLineChars="200"/>
        <w:outlineLvl w:val="0"/>
        <w:rPr>
          <w:rFonts w:ascii="楷体_GB2312" w:eastAsia="楷体_GB2312"/>
          <w:bCs/>
          <w:color w:val="000000"/>
        </w:rPr>
      </w:pPr>
      <w:r>
        <w:rPr>
          <w:rFonts w:hint="eastAsia" w:ascii="楷体_GB2312" w:eastAsia="楷体_GB2312"/>
          <w:bCs/>
          <w:color w:val="000000"/>
        </w:rPr>
        <w:t>（一）项目绩效目标完成情况分析</w:t>
      </w:r>
    </w:p>
    <w:p>
      <w:pPr>
        <w:spacing w:line="578" w:lineRule="exact"/>
        <w:ind w:firstLine="640" w:firstLineChars="200"/>
        <w:rPr>
          <w:bCs/>
          <w:color w:val="000000"/>
          <w:szCs w:val="32"/>
        </w:rPr>
      </w:pPr>
      <w:r>
        <w:rPr>
          <w:rFonts w:hint="eastAsia"/>
          <w:bCs/>
          <w:color w:val="000000"/>
          <w:szCs w:val="32"/>
        </w:rPr>
        <w:t>1. 项目的经济性分析</w:t>
      </w:r>
    </w:p>
    <w:p>
      <w:pPr>
        <w:spacing w:line="520" w:lineRule="exact"/>
        <w:ind w:firstLine="480" w:firstLineChars="150"/>
        <w:rPr>
          <w:rFonts w:ascii="仿宋" w:hAnsi="仿宋" w:eastAsia="仿宋"/>
          <w:szCs w:val="32"/>
        </w:rPr>
      </w:pPr>
      <w:r>
        <w:rPr>
          <w:rFonts w:hint="eastAsia" w:ascii="仿宋" w:hAnsi="仿宋" w:eastAsia="仿宋"/>
          <w:szCs w:val="32"/>
        </w:rPr>
        <w:t>（1）项目成本控制</w:t>
      </w:r>
    </w:p>
    <w:p>
      <w:pPr>
        <w:spacing w:line="520" w:lineRule="exact"/>
        <w:ind w:firstLine="640" w:firstLineChars="200"/>
        <w:rPr>
          <w:rFonts w:ascii="仿宋" w:hAnsi="仿宋" w:eastAsia="仿宋"/>
          <w:szCs w:val="32"/>
        </w:rPr>
      </w:pPr>
      <w:r>
        <w:rPr>
          <w:rFonts w:hint="eastAsia" w:ascii="仿宋" w:hAnsi="仿宋" w:eastAsia="仿宋"/>
          <w:szCs w:val="32"/>
        </w:rPr>
        <w:t>下达批复项目预算（计划）</w:t>
      </w:r>
      <w:r>
        <w:rPr>
          <w:rFonts w:hint="eastAsia" w:ascii="仿宋" w:hAnsi="仿宋" w:eastAsia="仿宋"/>
          <w:szCs w:val="32"/>
          <w:lang w:val="en-US" w:eastAsia="zh-CN"/>
        </w:rPr>
        <w:t>106.82</w:t>
      </w:r>
      <w:r>
        <w:rPr>
          <w:rFonts w:hint="eastAsia" w:ascii="仿宋" w:hAnsi="仿宋" w:eastAsia="仿宋"/>
          <w:szCs w:val="32"/>
        </w:rPr>
        <w:t>万元，实际使用（开支）</w:t>
      </w:r>
      <w:r>
        <w:rPr>
          <w:rFonts w:hint="eastAsia" w:ascii="仿宋" w:hAnsi="仿宋" w:eastAsia="仿宋"/>
          <w:szCs w:val="32"/>
          <w:lang w:val="en-US" w:eastAsia="zh-CN"/>
        </w:rPr>
        <w:t>106.82</w:t>
      </w:r>
      <w:r>
        <w:rPr>
          <w:rFonts w:hint="eastAsia" w:ascii="仿宋" w:hAnsi="仿宋" w:eastAsia="仿宋"/>
          <w:szCs w:val="32"/>
        </w:rPr>
        <w:t>万元，完成预算（计划）数的</w:t>
      </w:r>
      <w:r>
        <w:rPr>
          <w:rFonts w:hint="eastAsia" w:ascii="仿宋" w:hAnsi="仿宋" w:eastAsia="仿宋"/>
          <w:szCs w:val="32"/>
          <w:lang w:val="en-US" w:eastAsia="zh-CN"/>
        </w:rPr>
        <w:t>100</w:t>
      </w:r>
      <w:r>
        <w:rPr>
          <w:rFonts w:hint="eastAsia" w:ascii="仿宋" w:hAnsi="仿宋" w:eastAsia="仿宋"/>
          <w:szCs w:val="32"/>
        </w:rPr>
        <w:t>%，成本控制在预算（计划）范围内。</w:t>
      </w:r>
    </w:p>
    <w:p>
      <w:pPr>
        <w:tabs>
          <w:tab w:val="left" w:pos="640"/>
        </w:tabs>
        <w:spacing w:line="578" w:lineRule="exact"/>
        <w:ind w:firstLine="640" w:firstLineChars="200"/>
        <w:outlineLvl w:val="0"/>
        <w:rPr>
          <w:bCs/>
          <w:color w:val="000000"/>
          <w:szCs w:val="32"/>
        </w:rPr>
      </w:pPr>
      <w:r>
        <w:rPr>
          <w:rFonts w:hint="eastAsia"/>
          <w:bCs/>
          <w:color w:val="000000"/>
          <w:szCs w:val="32"/>
        </w:rPr>
        <w:t>2. 项目的效率性</w:t>
      </w:r>
    </w:p>
    <w:p>
      <w:pPr>
        <w:spacing w:line="520" w:lineRule="exact"/>
        <w:ind w:firstLine="640" w:firstLineChars="200"/>
        <w:rPr>
          <w:rFonts w:ascii="仿宋" w:hAnsi="仿宋" w:eastAsia="仿宋"/>
          <w:szCs w:val="32"/>
        </w:rPr>
      </w:pPr>
      <w:r>
        <w:rPr>
          <w:rFonts w:hint="eastAsia" w:ascii="仿宋" w:hAnsi="仿宋" w:eastAsia="仿宋"/>
          <w:szCs w:val="32"/>
        </w:rPr>
        <w:t>（1）项目实施进度。按照序时进度支付完成。</w:t>
      </w:r>
    </w:p>
    <w:p>
      <w:pPr>
        <w:spacing w:line="520" w:lineRule="exact"/>
        <w:ind w:firstLine="640" w:firstLineChars="200"/>
        <w:rPr>
          <w:rFonts w:ascii="仿宋" w:hAnsi="仿宋" w:eastAsia="仿宋"/>
          <w:szCs w:val="32"/>
        </w:rPr>
      </w:pPr>
      <w:r>
        <w:rPr>
          <w:rFonts w:hint="eastAsia" w:ascii="仿宋" w:hAnsi="仿宋" w:eastAsia="仿宋"/>
          <w:szCs w:val="32"/>
        </w:rPr>
        <w:t>（2）项目完成质量。项目的实施保证了各项检察业务的顺利开展。</w:t>
      </w:r>
    </w:p>
    <w:p>
      <w:pPr>
        <w:tabs>
          <w:tab w:val="left" w:pos="640"/>
        </w:tabs>
        <w:spacing w:line="578" w:lineRule="exact"/>
        <w:ind w:firstLine="640" w:firstLineChars="200"/>
        <w:outlineLvl w:val="0"/>
        <w:rPr>
          <w:bCs/>
          <w:color w:val="000000"/>
          <w:szCs w:val="32"/>
        </w:rPr>
      </w:pPr>
      <w:r>
        <w:rPr>
          <w:rFonts w:hint="eastAsia"/>
          <w:bCs/>
          <w:color w:val="000000"/>
          <w:szCs w:val="32"/>
          <w:highlight w:val="none"/>
        </w:rPr>
        <w:t xml:space="preserve">3.项目的效益性 </w:t>
      </w:r>
      <w:r>
        <w:rPr>
          <w:rFonts w:hint="eastAsia"/>
          <w:bCs/>
          <w:color w:val="000000"/>
          <w:szCs w:val="32"/>
        </w:rPr>
        <w:t xml:space="preserve"> </w:t>
      </w:r>
    </w:p>
    <w:p>
      <w:pPr>
        <w:spacing w:line="520" w:lineRule="exact"/>
        <w:ind w:firstLine="640" w:firstLineChars="200"/>
        <w:rPr>
          <w:bCs/>
          <w:color w:val="000000"/>
          <w:szCs w:val="32"/>
        </w:rPr>
      </w:pPr>
      <w:r>
        <w:rPr>
          <w:rFonts w:hint="eastAsia" w:ascii="仿宋" w:hAnsi="仿宋" w:eastAsia="仿宋"/>
          <w:szCs w:val="32"/>
        </w:rPr>
        <w:t>（1</w:t>
      </w:r>
      <w:r>
        <w:rPr>
          <w:rFonts w:ascii="仿宋" w:hAnsi="仿宋" w:eastAsia="仿宋"/>
          <w:szCs w:val="32"/>
        </w:rPr>
        <w:t>）</w:t>
      </w:r>
      <w:r>
        <w:rPr>
          <w:rFonts w:hint="eastAsia" w:ascii="仿宋" w:hAnsi="仿宋" w:eastAsia="仿宋"/>
          <w:szCs w:val="32"/>
        </w:rPr>
        <w:t>项目的预期目标完成程度</w:t>
      </w:r>
    </w:p>
    <w:p>
      <w:pPr>
        <w:spacing w:line="520" w:lineRule="exact"/>
        <w:ind w:firstLine="640" w:firstLineChars="200"/>
        <w:rPr>
          <w:rFonts w:ascii="仿宋" w:hAnsi="仿宋" w:eastAsia="仿宋"/>
          <w:color w:val="auto"/>
          <w:szCs w:val="32"/>
          <w:highlight w:val="none"/>
        </w:rPr>
      </w:pPr>
      <w:r>
        <w:rPr>
          <w:rFonts w:hint="eastAsia" w:ascii="仿宋" w:hAnsi="仿宋" w:eastAsia="仿宋"/>
          <w:color w:val="auto"/>
          <w:szCs w:val="32"/>
          <w:highlight w:val="none"/>
          <w:lang w:eastAsia="zh-CN"/>
        </w:rPr>
        <w:t>参加省内检察业务培训学习人数大于等于</w:t>
      </w:r>
      <w:r>
        <w:rPr>
          <w:rFonts w:hint="eastAsia" w:ascii="仿宋" w:hAnsi="仿宋" w:eastAsia="仿宋"/>
          <w:color w:val="auto"/>
          <w:szCs w:val="32"/>
          <w:highlight w:val="none"/>
          <w:lang w:val="en-US" w:eastAsia="zh-CN"/>
        </w:rPr>
        <w:t>10人次，保障干警检察业务出差人数大于等于30人次，劳务派遣人员工资足额发放率100%，检察业务宣传效果明显100%，业务培训干警满意度100%。</w:t>
      </w:r>
      <w:r>
        <w:rPr>
          <w:rFonts w:hint="eastAsia" w:ascii="仿宋" w:hAnsi="仿宋" w:eastAsia="仿宋"/>
          <w:color w:val="auto"/>
          <w:szCs w:val="32"/>
          <w:highlight w:val="none"/>
        </w:rPr>
        <w:t>以上各项均达到</w:t>
      </w:r>
      <w:r>
        <w:rPr>
          <w:rFonts w:hint="eastAsia" w:ascii="仿宋" w:hAnsi="仿宋" w:eastAsia="仿宋"/>
          <w:color w:val="auto"/>
          <w:szCs w:val="32"/>
          <w:highlight w:val="none"/>
          <w:lang w:eastAsia="zh-CN"/>
        </w:rPr>
        <w:t>绩效</w:t>
      </w:r>
      <w:r>
        <w:rPr>
          <w:rFonts w:hint="eastAsia" w:ascii="仿宋" w:hAnsi="仿宋" w:eastAsia="仿宋"/>
          <w:color w:val="auto"/>
          <w:szCs w:val="32"/>
          <w:highlight w:val="none"/>
        </w:rPr>
        <w:t>目标设定要求。</w:t>
      </w:r>
    </w:p>
    <w:p>
      <w:pPr>
        <w:spacing w:line="520" w:lineRule="exact"/>
        <w:ind w:firstLine="640" w:firstLineChars="200"/>
        <w:rPr>
          <w:rFonts w:ascii="仿宋" w:hAnsi="仿宋" w:eastAsia="仿宋"/>
          <w:szCs w:val="32"/>
        </w:rPr>
      </w:pPr>
      <w:r>
        <w:rPr>
          <w:rFonts w:hint="eastAsia" w:ascii="仿宋" w:hAnsi="仿宋" w:eastAsia="仿宋"/>
          <w:szCs w:val="32"/>
        </w:rPr>
        <w:t>（2）项目的实施对经济和社会的影响</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rPr>
          <w:rFonts w:ascii="仿宋" w:hAnsi="仿宋" w:eastAsia="仿宋"/>
          <w:szCs w:val="32"/>
        </w:rPr>
      </w:pPr>
      <w:r>
        <w:rPr>
          <w:rFonts w:hint="eastAsia" w:ascii="仿宋" w:hAnsi="仿宋" w:eastAsia="仿宋"/>
          <w:szCs w:val="32"/>
        </w:rPr>
        <w:t>项目的实施，使项目经费使用（开支）控制在成本（预算）范围内。</w:t>
      </w:r>
      <w:r>
        <w:rPr>
          <w:rFonts w:hint="eastAsia" w:ascii="仿宋" w:hAnsi="仿宋" w:eastAsia="仿宋" w:cs="Times New Roman"/>
          <w:szCs w:val="32"/>
        </w:rPr>
        <w:t>通过</w:t>
      </w:r>
      <w:r>
        <w:rPr>
          <w:rFonts w:hint="eastAsia" w:ascii="仿宋" w:hAnsi="仿宋" w:eastAsia="仿宋" w:cs="Times New Roman"/>
          <w:szCs w:val="32"/>
          <w:lang w:eastAsia="zh-CN"/>
        </w:rPr>
        <w:t>深入贯彻党的路线方针政策和决策部署，统一本院</w:t>
      </w:r>
      <w:r>
        <w:rPr>
          <w:rFonts w:hint="eastAsia" w:ascii="仿宋" w:hAnsi="仿宋" w:eastAsia="仿宋" w:cs="Times New Roman"/>
          <w:szCs w:val="32"/>
          <w:lang w:val="en-US" w:eastAsia="zh-CN"/>
        </w:rPr>
        <w:t>检察</w:t>
      </w:r>
      <w:r>
        <w:rPr>
          <w:rFonts w:hint="eastAsia" w:ascii="仿宋" w:hAnsi="仿宋" w:eastAsia="仿宋" w:cs="Times New Roman"/>
          <w:szCs w:val="32"/>
          <w:lang w:eastAsia="zh-CN"/>
        </w:rPr>
        <w:t>干警思想和行动，坚持党对检察工作的绝对领导，坚决维护习近平总书记的核心地位，坚决维护党中央权威和集中统一领导。</w:t>
      </w:r>
      <w:r>
        <w:rPr>
          <w:rFonts w:hint="eastAsia" w:ascii="仿宋" w:hAnsi="仿宋" w:eastAsia="仿宋"/>
          <w:szCs w:val="32"/>
          <w:highlight w:val="none"/>
          <w:lang w:eastAsia="zh-CN"/>
        </w:rPr>
        <w:t>持续贯彻习近平新时代中国特色社会主义思想</w:t>
      </w:r>
      <w:r>
        <w:rPr>
          <w:rFonts w:hint="eastAsia" w:ascii="仿宋" w:hAnsi="仿宋" w:eastAsia="仿宋"/>
          <w:szCs w:val="32"/>
          <w:highlight w:val="none"/>
        </w:rPr>
        <w:t>，坚决落实“两个责任”。</w:t>
      </w:r>
      <w:r>
        <w:rPr>
          <w:rFonts w:hint="eastAsia" w:ascii="仿宋" w:hAnsi="仿宋" w:eastAsia="仿宋"/>
          <w:szCs w:val="32"/>
        </w:rPr>
        <w:t>突出执法办案和法律监督，认真履行宪法和法律赋予的职责，着力提升司法能力素质和司法公信力，为</w:t>
      </w:r>
      <w:r>
        <w:rPr>
          <w:rFonts w:hint="eastAsia" w:ascii="仿宋" w:hAnsi="仿宋" w:eastAsia="仿宋"/>
          <w:szCs w:val="32"/>
          <w:lang w:eastAsia="zh-CN"/>
        </w:rPr>
        <w:t>昌江</w:t>
      </w:r>
      <w:r>
        <w:rPr>
          <w:rFonts w:hint="eastAsia" w:ascii="仿宋" w:hAnsi="仿宋" w:eastAsia="仿宋"/>
          <w:szCs w:val="32"/>
        </w:rPr>
        <w:t>的经济建设和平稳健康发展奠定了基础。</w:t>
      </w:r>
    </w:p>
    <w:p>
      <w:pPr>
        <w:tabs>
          <w:tab w:val="left" w:pos="640"/>
        </w:tabs>
        <w:spacing w:line="578" w:lineRule="exact"/>
        <w:ind w:firstLine="640" w:firstLineChars="200"/>
        <w:outlineLvl w:val="0"/>
        <w:rPr>
          <w:bCs/>
          <w:color w:val="000000"/>
          <w:szCs w:val="32"/>
        </w:rPr>
      </w:pPr>
      <w:r>
        <w:rPr>
          <w:rFonts w:hint="eastAsia"/>
          <w:bCs/>
          <w:color w:val="000000"/>
          <w:szCs w:val="32"/>
        </w:rPr>
        <w:t>4.项目的可持续性分析</w:t>
      </w:r>
    </w:p>
    <w:p>
      <w:pPr>
        <w:spacing w:line="520" w:lineRule="exact"/>
        <w:ind w:firstLine="640" w:firstLineChars="200"/>
        <w:rPr>
          <w:rFonts w:hint="eastAsia" w:ascii="仿宋" w:hAnsi="仿宋" w:eastAsia="仿宋"/>
          <w:szCs w:val="32"/>
          <w:lang w:eastAsia="zh-CN"/>
        </w:rPr>
      </w:pPr>
      <w:r>
        <w:rPr>
          <w:rFonts w:hint="eastAsia" w:ascii="仿宋" w:hAnsi="仿宋" w:eastAsia="仿宋"/>
          <w:szCs w:val="32"/>
          <w:lang w:eastAsia="zh-CN"/>
        </w:rPr>
        <w:t>此项目是我院每个预算年度必须设立的项目，是保证我院检察办案工作的基础条件，是司法为民的前提，是开展工作任务的必备的经费、物质保障。</w:t>
      </w:r>
    </w:p>
    <w:p>
      <w:pPr>
        <w:spacing w:line="578" w:lineRule="exact"/>
        <w:ind w:firstLine="640" w:firstLineChars="200"/>
        <w:outlineLvl w:val="0"/>
        <w:rPr>
          <w:rFonts w:ascii="黑体" w:eastAsia="黑体"/>
          <w:bCs/>
          <w:szCs w:val="32"/>
        </w:rPr>
      </w:pPr>
      <w:r>
        <w:rPr>
          <w:rFonts w:hint="eastAsia" w:ascii="黑体" w:eastAsia="黑体"/>
          <w:bCs/>
          <w:szCs w:val="32"/>
        </w:rPr>
        <w:t>五、综合评价情况及评价结论</w:t>
      </w:r>
    </w:p>
    <w:p>
      <w:pPr>
        <w:spacing w:line="520" w:lineRule="exact"/>
        <w:ind w:firstLine="640" w:firstLineChars="200"/>
        <w:rPr>
          <w:rFonts w:ascii="仿宋" w:hAnsi="仿宋" w:eastAsia="仿宋"/>
          <w:szCs w:val="32"/>
        </w:rPr>
      </w:pPr>
      <w:r>
        <w:rPr>
          <w:rFonts w:hint="eastAsia" w:ascii="仿宋" w:hAnsi="仿宋" w:eastAsia="仿宋"/>
          <w:szCs w:val="32"/>
        </w:rPr>
        <w:t>项目依照中央、省、市的要求决策，依据充分，目标明确，程序合理，与政策要求高度相关，项目资金到位及时，资金使用按预算（计划）执行，项目组织实施和管理基本有效，项目的产出基本达到目标，项目绩效基本实现，项目绩效评价“</w:t>
      </w:r>
      <w:r>
        <w:rPr>
          <w:rFonts w:hint="eastAsia" w:ascii="仿宋" w:hAnsi="仿宋" w:eastAsia="仿宋"/>
          <w:szCs w:val="32"/>
          <w:lang w:eastAsia="zh-CN"/>
        </w:rPr>
        <w:t>优</w:t>
      </w:r>
      <w:r>
        <w:rPr>
          <w:rFonts w:hint="eastAsia" w:ascii="仿宋" w:hAnsi="仿宋" w:eastAsia="仿宋"/>
          <w:szCs w:val="32"/>
        </w:rPr>
        <w:t>”（</w:t>
      </w:r>
      <w:r>
        <w:rPr>
          <w:rFonts w:hint="eastAsia" w:ascii="仿宋" w:hAnsi="仿宋" w:eastAsia="仿宋"/>
          <w:szCs w:val="32"/>
          <w:lang w:val="en-US" w:eastAsia="zh-CN"/>
        </w:rPr>
        <w:t>94</w:t>
      </w:r>
      <w:r>
        <w:rPr>
          <w:rFonts w:hint="eastAsia" w:ascii="仿宋" w:hAnsi="仿宋" w:eastAsia="仿宋"/>
          <w:szCs w:val="32"/>
        </w:rPr>
        <w:t>分）。</w:t>
      </w:r>
    </w:p>
    <w:tbl>
      <w:tblPr>
        <w:tblStyle w:val="5"/>
        <w:tblW w:w="91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567"/>
        <w:gridCol w:w="851"/>
        <w:gridCol w:w="647"/>
        <w:gridCol w:w="1225"/>
        <w:gridCol w:w="535"/>
        <w:gridCol w:w="2185"/>
        <w:gridCol w:w="1680"/>
        <w:gridCol w:w="495"/>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一级指标</w:t>
            </w:r>
          </w:p>
        </w:tc>
        <w:tc>
          <w:tcPr>
            <w:tcW w:w="56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分值</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二级指标</w:t>
            </w:r>
          </w:p>
        </w:tc>
        <w:tc>
          <w:tcPr>
            <w:tcW w:w="64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分值</w:t>
            </w:r>
          </w:p>
        </w:tc>
        <w:tc>
          <w:tcPr>
            <w:tcW w:w="12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三级指标</w:t>
            </w:r>
          </w:p>
        </w:tc>
        <w:tc>
          <w:tcPr>
            <w:tcW w:w="5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分值</w:t>
            </w:r>
          </w:p>
        </w:tc>
        <w:tc>
          <w:tcPr>
            <w:tcW w:w="218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指标解释</w:t>
            </w:r>
          </w:p>
        </w:tc>
        <w:tc>
          <w:tcPr>
            <w:tcW w:w="168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评价内容及指标</w:t>
            </w:r>
          </w:p>
        </w:tc>
        <w:tc>
          <w:tcPr>
            <w:tcW w:w="49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分值</w:t>
            </w:r>
          </w:p>
        </w:tc>
        <w:tc>
          <w:tcPr>
            <w:tcW w:w="42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hAnsi="宋体" w:eastAsia="宋体" w:cs="宋体"/>
                <w:b/>
                <w:bCs/>
                <w:kern w:val="0"/>
                <w:sz w:val="16"/>
                <w:szCs w:val="16"/>
              </w:rPr>
            </w:pPr>
            <w:r>
              <w:rPr>
                <w:rFonts w:hint="eastAsia" w:ascii="宋体" w:hAnsi="宋体" w:eastAsia="宋体" w:cs="宋体"/>
                <w:b/>
                <w:bCs/>
                <w:kern w:val="0"/>
                <w:sz w:val="16"/>
                <w:szCs w:val="16"/>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582" w:type="dxa"/>
            <w:vMerge w:val="restart"/>
            <w:tcBorders>
              <w:top w:val="single" w:color="auto" w:sz="4" w:space="0"/>
              <w:left w:val="single" w:color="auto" w:sz="4" w:space="0"/>
              <w:right w:val="single" w:color="auto" w:sz="4" w:space="0"/>
            </w:tcBorders>
            <w:vAlign w:val="center"/>
          </w:tcPr>
          <w:p>
            <w:pPr>
              <w:spacing w:line="220" w:lineRule="exact"/>
              <w:jc w:val="center"/>
              <w:rPr>
                <w:rFonts w:ascii="宋体" w:hAnsi="宋体" w:eastAsia="宋体" w:cs="宋体"/>
                <w:b/>
                <w:bCs/>
                <w:kern w:val="0"/>
                <w:sz w:val="16"/>
                <w:szCs w:val="16"/>
              </w:rPr>
            </w:pPr>
            <w:r>
              <w:rPr>
                <w:rFonts w:hint="eastAsia" w:ascii="宋体" w:hAnsi="宋体" w:eastAsia="宋体" w:cs="宋体"/>
                <w:kern w:val="0"/>
                <w:sz w:val="16"/>
                <w:szCs w:val="16"/>
              </w:rPr>
              <w:t>项目决策</w:t>
            </w:r>
          </w:p>
        </w:tc>
        <w:tc>
          <w:tcPr>
            <w:tcW w:w="567" w:type="dxa"/>
            <w:vMerge w:val="restart"/>
            <w:tcBorders>
              <w:top w:val="single" w:color="auto" w:sz="4" w:space="0"/>
              <w:left w:val="nil"/>
              <w:right w:val="single" w:color="auto" w:sz="4" w:space="0"/>
            </w:tcBorders>
            <w:vAlign w:val="center"/>
          </w:tcPr>
          <w:p>
            <w:pPr>
              <w:spacing w:line="220" w:lineRule="exact"/>
              <w:jc w:val="center"/>
              <w:rPr>
                <w:rFonts w:ascii="宋体" w:hAnsi="宋体" w:eastAsia="宋体" w:cs="宋体"/>
                <w:b/>
                <w:bCs/>
                <w:kern w:val="0"/>
                <w:sz w:val="16"/>
                <w:szCs w:val="16"/>
              </w:rPr>
            </w:pPr>
            <w:r>
              <w:rPr>
                <w:rFonts w:hint="eastAsia" w:ascii="宋体" w:hAnsi="宋体" w:eastAsia="宋体" w:cs="宋体"/>
                <w:kern w:val="0"/>
                <w:sz w:val="16"/>
                <w:szCs w:val="16"/>
              </w:rPr>
              <w:t xml:space="preserve">20 </w:t>
            </w:r>
          </w:p>
        </w:tc>
        <w:tc>
          <w:tcPr>
            <w:tcW w:w="851" w:type="dxa"/>
            <w:tcBorders>
              <w:top w:val="single" w:color="auto" w:sz="4" w:space="0"/>
              <w:left w:val="nil"/>
              <w:right w:val="single" w:color="auto" w:sz="4" w:space="0"/>
            </w:tcBorders>
            <w:vAlign w:val="center"/>
          </w:tcPr>
          <w:p>
            <w:pPr>
              <w:spacing w:line="220" w:lineRule="exact"/>
              <w:jc w:val="left"/>
              <w:rPr>
                <w:rFonts w:ascii="宋体" w:hAnsi="宋体" w:eastAsia="宋体" w:cs="宋体"/>
                <w:b/>
                <w:bCs/>
                <w:kern w:val="0"/>
                <w:sz w:val="16"/>
                <w:szCs w:val="16"/>
              </w:rPr>
            </w:pPr>
            <w:r>
              <w:rPr>
                <w:rFonts w:hint="eastAsia" w:ascii="宋体" w:hAnsi="宋体" w:eastAsia="宋体" w:cs="宋体"/>
                <w:kern w:val="0"/>
                <w:sz w:val="16"/>
                <w:szCs w:val="16"/>
              </w:rPr>
              <w:t>项目指标</w:t>
            </w:r>
          </w:p>
        </w:tc>
        <w:tc>
          <w:tcPr>
            <w:tcW w:w="647" w:type="dxa"/>
            <w:tcBorders>
              <w:top w:val="single" w:color="auto" w:sz="4" w:space="0"/>
              <w:left w:val="nil"/>
              <w:right w:val="single" w:color="auto" w:sz="4" w:space="0"/>
            </w:tcBorders>
            <w:vAlign w:val="center"/>
          </w:tcPr>
          <w:p>
            <w:pPr>
              <w:spacing w:line="220" w:lineRule="exact"/>
              <w:jc w:val="center"/>
              <w:rPr>
                <w:rFonts w:ascii="宋体" w:hAnsi="宋体" w:eastAsia="宋体" w:cs="宋体"/>
                <w:b/>
                <w:bCs/>
                <w:kern w:val="0"/>
                <w:sz w:val="16"/>
                <w:szCs w:val="16"/>
              </w:rPr>
            </w:pPr>
            <w:r>
              <w:rPr>
                <w:rFonts w:hint="eastAsia" w:ascii="宋体" w:hAnsi="宋体" w:eastAsia="宋体" w:cs="宋体"/>
                <w:kern w:val="0"/>
                <w:sz w:val="16"/>
                <w:szCs w:val="16"/>
              </w:rPr>
              <w:t>4</w:t>
            </w:r>
          </w:p>
        </w:tc>
        <w:tc>
          <w:tcPr>
            <w:tcW w:w="1225" w:type="dxa"/>
            <w:tcBorders>
              <w:top w:val="single" w:color="auto" w:sz="4" w:space="0"/>
              <w:left w:val="nil"/>
              <w:right w:val="single" w:color="auto" w:sz="4" w:space="0"/>
            </w:tcBorders>
            <w:vAlign w:val="center"/>
          </w:tcPr>
          <w:p>
            <w:pPr>
              <w:widowControl/>
              <w:spacing w:line="220" w:lineRule="exact"/>
              <w:jc w:val="left"/>
              <w:rPr>
                <w:rFonts w:ascii="宋体" w:hAnsi="宋体" w:eastAsia="宋体" w:cs="宋体"/>
                <w:b/>
                <w:bCs/>
                <w:kern w:val="0"/>
                <w:sz w:val="16"/>
                <w:szCs w:val="16"/>
              </w:rPr>
            </w:pPr>
            <w:r>
              <w:rPr>
                <w:rFonts w:hint="eastAsia" w:ascii="宋体" w:hAnsi="宋体" w:eastAsia="宋体" w:cs="宋体"/>
                <w:kern w:val="0"/>
                <w:sz w:val="16"/>
                <w:szCs w:val="16"/>
              </w:rPr>
              <w:t>项目目标</w:t>
            </w:r>
          </w:p>
        </w:tc>
        <w:tc>
          <w:tcPr>
            <w:tcW w:w="535" w:type="dxa"/>
            <w:tcBorders>
              <w:top w:val="single" w:color="auto" w:sz="4" w:space="0"/>
              <w:left w:val="nil"/>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4</w:t>
            </w:r>
          </w:p>
        </w:tc>
        <w:tc>
          <w:tcPr>
            <w:tcW w:w="2185" w:type="dxa"/>
            <w:tcBorders>
              <w:top w:val="single" w:color="auto" w:sz="4" w:space="0"/>
              <w:left w:val="nil"/>
              <w:right w:val="single" w:color="auto" w:sz="4" w:space="0"/>
            </w:tcBorders>
            <w:vAlign w:val="center"/>
          </w:tcPr>
          <w:p>
            <w:pPr>
              <w:widowControl/>
              <w:spacing w:line="220" w:lineRule="exact"/>
              <w:jc w:val="left"/>
              <w:rPr>
                <w:rFonts w:hint="default" w:ascii="宋体" w:hAnsi="宋体" w:eastAsia="宋体" w:cs="宋体"/>
                <w:kern w:val="0"/>
                <w:sz w:val="16"/>
                <w:szCs w:val="16"/>
                <w:lang w:val="en-US" w:eastAsia="zh-CN"/>
              </w:rPr>
            </w:pPr>
            <w:r>
              <w:rPr>
                <w:rFonts w:hint="eastAsia" w:ascii="宋体" w:hAnsi="宋体" w:eastAsia="宋体" w:cs="宋体"/>
                <w:kern w:val="0"/>
                <w:sz w:val="16"/>
                <w:szCs w:val="16"/>
              </w:rPr>
              <w:t>保障干警检察业务出差人数大于等于20人/次，人数明显比去年提高；省内检察业务培训学习人数5人/次;劳务派遣人员工资足额发放率95%以上；检察业务宣传效果明显95%以上；业务培训干警满意度95%以上。</w:t>
            </w:r>
          </w:p>
        </w:tc>
        <w:tc>
          <w:tcPr>
            <w:tcW w:w="1680" w:type="dxa"/>
            <w:tcBorders>
              <w:top w:val="single" w:color="auto" w:sz="4" w:space="0"/>
              <w:left w:val="nil"/>
              <w:bottom w:val="single" w:color="auto" w:sz="4" w:space="0"/>
              <w:right w:val="single" w:color="auto" w:sz="4" w:space="0"/>
            </w:tcBorders>
            <w:vAlign w:val="center"/>
          </w:tcPr>
          <w:p>
            <w:pPr>
              <w:widowControl/>
              <w:spacing w:line="220" w:lineRule="exact"/>
              <w:rPr>
                <w:rFonts w:ascii="宋体" w:hAnsi="宋体" w:eastAsia="宋体" w:cs="宋体"/>
                <w:kern w:val="0"/>
                <w:sz w:val="16"/>
                <w:szCs w:val="16"/>
              </w:rPr>
            </w:pPr>
            <w:r>
              <w:rPr>
                <w:rFonts w:hint="eastAsia" w:ascii="宋体" w:hAnsi="宋体" w:eastAsia="宋体" w:cs="宋体"/>
                <w:kern w:val="0"/>
                <w:sz w:val="16"/>
                <w:szCs w:val="16"/>
              </w:rPr>
              <w:t>目标明确1分、目标分配1分、目标量化2分</w:t>
            </w:r>
          </w:p>
        </w:tc>
        <w:tc>
          <w:tcPr>
            <w:tcW w:w="495" w:type="dxa"/>
            <w:tcBorders>
              <w:top w:val="single" w:color="auto" w:sz="4" w:space="0"/>
              <w:left w:val="nil"/>
              <w:right w:val="single" w:color="auto" w:sz="4" w:space="0"/>
            </w:tcBorders>
            <w:vAlign w:val="center"/>
          </w:tcPr>
          <w:p>
            <w:pPr>
              <w:widowControl/>
              <w:spacing w:line="220" w:lineRule="exact"/>
              <w:jc w:val="center"/>
              <w:rPr>
                <w:rFonts w:ascii="宋体" w:hAnsi="宋体" w:eastAsia="宋体" w:cs="宋体"/>
                <w:b w:val="0"/>
                <w:bCs w:val="0"/>
                <w:kern w:val="0"/>
                <w:sz w:val="16"/>
                <w:szCs w:val="16"/>
              </w:rPr>
            </w:pPr>
            <w:r>
              <w:rPr>
                <w:rFonts w:hint="eastAsia" w:ascii="宋体" w:hAnsi="宋体" w:eastAsia="宋体" w:cs="宋体"/>
                <w:b w:val="0"/>
                <w:bCs w:val="0"/>
                <w:kern w:val="0"/>
                <w:sz w:val="16"/>
                <w:szCs w:val="16"/>
              </w:rPr>
              <w:t>4</w:t>
            </w:r>
          </w:p>
        </w:tc>
        <w:tc>
          <w:tcPr>
            <w:tcW w:w="420" w:type="dxa"/>
            <w:tcBorders>
              <w:top w:val="single" w:color="auto" w:sz="4" w:space="0"/>
              <w:left w:val="nil"/>
              <w:right w:val="single" w:color="auto" w:sz="4" w:space="0"/>
            </w:tcBorders>
            <w:vAlign w:val="center"/>
          </w:tcPr>
          <w:p>
            <w:pPr>
              <w:widowControl/>
              <w:spacing w:line="220" w:lineRule="exact"/>
              <w:jc w:val="center"/>
              <w:rPr>
                <w:rFonts w:ascii="宋体" w:hAnsi="宋体" w:eastAsia="宋体" w:cs="宋体"/>
                <w:b w:val="0"/>
                <w:bCs w:val="0"/>
                <w:kern w:val="0"/>
                <w:sz w:val="16"/>
                <w:szCs w:val="16"/>
              </w:rPr>
            </w:pPr>
            <w:r>
              <w:rPr>
                <w:sz w:val="16"/>
              </w:rPr>
              <mc:AlternateContent>
                <mc:Choice Requires="wps">
                  <w:drawing>
                    <wp:anchor distT="0" distB="0" distL="114300" distR="114300" simplePos="0" relativeHeight="251660288" behindDoc="0" locked="0" layoutInCell="1" allowOverlap="1">
                      <wp:simplePos x="0" y="0"/>
                      <wp:positionH relativeFrom="column">
                        <wp:posOffset>2274570</wp:posOffset>
                      </wp:positionH>
                      <wp:positionV relativeFrom="paragraph">
                        <wp:posOffset>-288290</wp:posOffset>
                      </wp:positionV>
                      <wp:extent cx="635" cy="635"/>
                      <wp:effectExtent l="0" t="0" r="0" b="0"/>
                      <wp:wrapNone/>
                      <wp:docPr id="5" name="墨迹 5"/>
                      <wp:cNvGraphicFramePr/>
                      <a:graphic xmlns:a="http://schemas.openxmlformats.org/drawingml/2006/main">
                        <a:graphicData uri="http://schemas.microsoft.com/office/word/2010/wordprocessingInk">
                          <mc:AlternateContent xmlns:a14="http://schemas.microsoft.com/office/drawing/2010/main">
                            <mc:Choice Requires="a14">
                              <w14:contentPart bwMode="clr" r:id="rId6">
                                <w14:nvContentPartPr>
                                  <w14:cNvPr id="5" name="墨迹 5"/>
                                  <w14:cNvContentPartPr/>
                                </w14:nvContentPartPr>
                                <w14:xfrm>
                                  <a:off x="9043670" y="6802120"/>
                                  <a:ext cx="635" cy="635"/>
                                </w14:xfrm>
                              </w14:contentPart>
                            </mc:Choice>
                          </mc:AlternateContent>
                        </a:graphicData>
                      </a:graphic>
                    </wp:anchor>
                  </w:drawing>
                </mc:Choice>
                <mc:Fallback>
                  <w:pict>
                    <v:shape id="_x0000_s1026" o:spid="_x0000_s1026" o:spt="75" style="position:absolute;left:0pt;margin-left:179.1pt;margin-top:-22.7pt;height:0.05pt;width:0.05pt;z-index:251660288;mso-width-relative:page;mso-height-relative:page;" coordsize="21600,21600" o:gfxdata="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">
                      <v:imagedata r:id="rId7" o:title=""/>
                      <o:lock v:ext="edit"/>
                    </v:shape>
                  </w:pict>
                </mc:Fallback>
              </mc:AlternateContent>
            </w:r>
            <w:r>
              <w:rPr>
                <w:rFonts w:hint="eastAsia" w:ascii="宋体" w:hAnsi="宋体" w:eastAsia="宋体" w:cs="宋体"/>
                <w:b w:val="0"/>
                <w:bCs w:val="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restart"/>
            <w:tcBorders>
              <w:top w:val="nil"/>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决策过程</w:t>
            </w:r>
          </w:p>
        </w:tc>
        <w:tc>
          <w:tcPr>
            <w:tcW w:w="647" w:type="dxa"/>
            <w:vMerge w:val="restart"/>
            <w:tcBorders>
              <w:top w:val="nil"/>
              <w:left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1225"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决策依据</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sz w:val="16"/>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-139065</wp:posOffset>
                      </wp:positionV>
                      <wp:extent cx="635" cy="635"/>
                      <wp:effectExtent l="0" t="0" r="0" b="0"/>
                      <wp:wrapNone/>
                      <wp:docPr id="3" name="墨迹 3"/>
                      <wp:cNvGraphicFramePr/>
                      <a:graphic xmlns:a="http://schemas.openxmlformats.org/drawingml/2006/main">
                        <a:graphicData uri="http://schemas.microsoft.com/office/word/2010/wordprocessingInk">
                          <mc:AlternateContent xmlns:a14="http://schemas.microsoft.com/office/drawing/2010/main">
                            <mc:Choice Requires="a14">
                              <w14:contentPart bwMode="clr" r:id="rId8">
                                <w14:nvContentPartPr>
                                  <w14:cNvPr id="3" name="墨迹 3"/>
                                  <w14:cNvContentPartPr/>
                                </w14:nvContentPartPr>
                                <w14:xfrm>
                                  <a:off x="3614420" y="7802245"/>
                                  <a:ext cx="635" cy="635"/>
                                </w14:xfrm>
                              </w14:contentPart>
                            </mc:Choice>
                          </mc:AlternateContent>
                        </a:graphicData>
                      </a:graphic>
                    </wp:anchor>
                  </w:drawing>
                </mc:Choice>
                <mc:Fallback>
                  <w:pict>
                    <v:shape id="_x0000_s1026" o:spid="_x0000_s1026" o:spt="75" style="position:absolute;left:0pt;margin-left:-3.65pt;margin-top:-10.95pt;height:0.05pt;width:0.05pt;z-index:251659264;mso-width-relative:page;mso-height-relative:page;" coordsize="21600,21600" o:gfxdata="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">
                      <v:imagedata r:id="rId7" o:title=""/>
                      <o:lock v:ext="edit"/>
                    </v:shape>
                  </w:pict>
                </mc:Fallback>
              </mc:AlternateContent>
            </w:r>
            <w:r>
              <w:rPr>
                <w:rFonts w:hint="eastAsia" w:ascii="宋体" w:hAnsi="宋体" w:eastAsia="宋体" w:cs="宋体"/>
                <w:kern w:val="0"/>
                <w:sz w:val="16"/>
                <w:szCs w:val="16"/>
              </w:rPr>
              <w:t xml:space="preserve">3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经济社会发展规划和部门年度工作计划，制定中长期实施规划</w:t>
            </w:r>
          </w:p>
        </w:tc>
        <w:tc>
          <w:tcPr>
            <w:tcW w:w="1680"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项目符合部门年度工作计划2分、根据需要制定实施规划1分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3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647"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1225"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决策程序</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5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项目符合申报条件；申报批复程序符合管理办法；项目调整履行相关手续</w:t>
            </w:r>
          </w:p>
        </w:tc>
        <w:tc>
          <w:tcPr>
            <w:tcW w:w="1680"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项目符合申报条件2分、申报批复程序符合管理办法2分、实施调整符合手续1分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5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ascii="宋体" w:hAnsi="宋体" w:eastAsia="宋体" w:cs="宋体"/>
                <w:kern w:val="0"/>
                <w:sz w:val="16"/>
                <w:szCs w:val="16"/>
              </w:rPr>
            </w:pPr>
            <w:r>
              <w:rPr>
                <w:rFonts w:hint="eastAsia" w:ascii="宋体" w:hAnsi="宋体" w:eastAsia="宋体" w:cs="宋体"/>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restart"/>
            <w:tcBorders>
              <w:top w:val="nil"/>
              <w:left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资金分配</w:t>
            </w:r>
          </w:p>
        </w:tc>
        <w:tc>
          <w:tcPr>
            <w:tcW w:w="647" w:type="dxa"/>
            <w:vMerge w:val="restart"/>
            <w:tcBorders>
              <w:top w:val="nil"/>
              <w:left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1225"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分配办法</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2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根据需要制定资金管理办法，并明确资金分配办法，资金分配因素全面合理</w:t>
            </w:r>
          </w:p>
        </w:tc>
        <w:tc>
          <w:tcPr>
            <w:tcW w:w="1680"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办公健全规范1分、因素选择全面合理1分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2</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647"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1225"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分配结果</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6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资金分配符合管理办法，分配结果合理</w:t>
            </w:r>
          </w:p>
        </w:tc>
        <w:tc>
          <w:tcPr>
            <w:tcW w:w="1680" w:type="dxa"/>
            <w:tcBorders>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项目符合分配办法2分、资金分配合理4分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6</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项目管理</w:t>
            </w:r>
          </w:p>
        </w:tc>
        <w:tc>
          <w:tcPr>
            <w:tcW w:w="567"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25 </w:t>
            </w:r>
          </w:p>
        </w:tc>
        <w:tc>
          <w:tcPr>
            <w:tcW w:w="851"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资金到位</w:t>
            </w:r>
          </w:p>
        </w:tc>
        <w:tc>
          <w:tcPr>
            <w:tcW w:w="647"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5 </w:t>
            </w:r>
          </w:p>
        </w:tc>
        <w:tc>
          <w:tcPr>
            <w:tcW w:w="122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到位率</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3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实际到位/计划到位数*100%</w:t>
            </w:r>
          </w:p>
        </w:tc>
        <w:tc>
          <w:tcPr>
            <w:tcW w:w="1680"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根据项目实际到位资金占计划的比重，计划比重计算得3分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3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ascii="宋体" w:hAnsi="宋体" w:eastAsia="宋体" w:cs="宋体"/>
                <w:kern w:val="0"/>
                <w:sz w:val="16"/>
                <w:szCs w:val="16"/>
              </w:rPr>
            </w:pPr>
            <w:r>
              <w:rPr>
                <w:rFonts w:hint="eastAsia" w:ascii="宋体" w:hAnsi="宋体" w:eastAsia="宋体" w:cs="宋体"/>
                <w:kern w:val="0"/>
                <w:sz w:val="16"/>
                <w:szCs w:val="16"/>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122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到位时效</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2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资金及时到位,若未及时到位,是否影响项目进度</w:t>
            </w:r>
          </w:p>
        </w:tc>
        <w:tc>
          <w:tcPr>
            <w:tcW w:w="1680"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及时到位2分、未及时到位但未影响项目进度1.5分、未及时到位并影响进度0-1分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2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ascii="宋体" w:hAnsi="宋体" w:eastAsia="宋体" w:cs="宋体"/>
                <w:kern w:val="0"/>
                <w:sz w:val="16"/>
                <w:szCs w:val="16"/>
              </w:rPr>
            </w:pPr>
            <w:r>
              <w:rPr>
                <w:rFonts w:hint="eastAsia" w:ascii="宋体" w:hAnsi="宋体" w:eastAsia="宋体" w:cs="宋体"/>
                <w:kern w:val="0"/>
                <w:sz w:val="16"/>
                <w:szCs w:val="16"/>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资金管理</w:t>
            </w:r>
          </w:p>
        </w:tc>
        <w:tc>
          <w:tcPr>
            <w:tcW w:w="647"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10 </w:t>
            </w:r>
          </w:p>
        </w:tc>
        <w:tc>
          <w:tcPr>
            <w:tcW w:w="122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资金使用</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7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支出依据合规不虚列项目支出情况,不存在截留、挤占、挪用项目资金情况，不存在超标列支</w:t>
            </w:r>
          </w:p>
        </w:tc>
        <w:tc>
          <w:tcPr>
            <w:tcW w:w="1680"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虚报套取扣4.7分、支出不合规扣1分、截留、挤占、挪用扣3-6分、超标准开支扣2-5分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7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ascii="宋体" w:hAnsi="宋体" w:eastAsia="宋体" w:cs="宋体"/>
                <w:kern w:val="0"/>
                <w:sz w:val="16"/>
                <w:szCs w:val="16"/>
              </w:rPr>
            </w:pPr>
            <w:r>
              <w:rPr>
                <w:rFonts w:hint="eastAsia" w:ascii="宋体" w:hAnsi="宋体" w:eastAsia="宋体" w:cs="宋体"/>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122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财务管理</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3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资金管理、费用支出制度健全，严格执行会计核算规范</w:t>
            </w:r>
          </w:p>
        </w:tc>
        <w:tc>
          <w:tcPr>
            <w:tcW w:w="1680"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制度健全1分、严格执行制度1分、会计核算规范1分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3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ascii="宋体" w:hAnsi="宋体" w:eastAsia="宋体" w:cs="宋体"/>
                <w:kern w:val="0"/>
                <w:sz w:val="16"/>
                <w:szCs w:val="16"/>
              </w:rPr>
            </w:pPr>
            <w:r>
              <w:rPr>
                <w:rFonts w:hint="eastAsia" w:ascii="宋体" w:hAnsi="宋体" w:eastAsia="宋体" w:cs="宋体"/>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组织实施</w:t>
            </w:r>
          </w:p>
        </w:tc>
        <w:tc>
          <w:tcPr>
            <w:tcW w:w="647"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10 </w:t>
            </w:r>
          </w:p>
        </w:tc>
        <w:tc>
          <w:tcPr>
            <w:tcW w:w="122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组织机构</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1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机构健全、分工明确</w:t>
            </w:r>
          </w:p>
        </w:tc>
        <w:tc>
          <w:tcPr>
            <w:tcW w:w="1680"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机构健全分工明确1分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1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ascii="宋体" w:hAnsi="宋体" w:eastAsia="宋体" w:cs="宋体"/>
                <w:kern w:val="0"/>
                <w:sz w:val="16"/>
                <w:szCs w:val="16"/>
              </w:rPr>
            </w:pPr>
            <w:r>
              <w:rPr>
                <w:rFonts w:hint="eastAsia" w:ascii="宋体" w:hAnsi="宋体" w:eastAsia="宋体" w:cs="宋体"/>
                <w:kern w:val="0"/>
                <w:sz w:val="16"/>
                <w:szCs w:val="16"/>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kern w:val="0"/>
                <w:sz w:val="16"/>
                <w:szCs w:val="16"/>
              </w:rPr>
            </w:pPr>
          </w:p>
        </w:tc>
        <w:tc>
          <w:tcPr>
            <w:tcW w:w="122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管理制度</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9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建立健全项目管理制度，严格执行相关项目管理制度</w:t>
            </w:r>
          </w:p>
        </w:tc>
        <w:tc>
          <w:tcPr>
            <w:tcW w:w="1680"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建立健全项目管理制度2分、严格执行项目管理制度7分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9 </w:t>
            </w:r>
          </w:p>
        </w:tc>
        <w:tc>
          <w:tcPr>
            <w:tcW w:w="420" w:type="dxa"/>
            <w:tcBorders>
              <w:top w:val="nil"/>
              <w:left w:val="nil"/>
              <w:bottom w:val="single" w:color="auto" w:sz="4" w:space="0"/>
              <w:right w:val="single" w:color="auto" w:sz="4" w:space="0"/>
            </w:tcBorders>
            <w:vAlign w:val="center"/>
          </w:tcPr>
          <w:p>
            <w:pPr>
              <w:widowControl/>
              <w:spacing w:line="220" w:lineRule="exact"/>
              <w:jc w:val="right"/>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16"/>
                <w:szCs w:val="16"/>
              </w:rPr>
            </w:pPr>
            <w:r>
              <w:rPr>
                <w:rFonts w:hint="eastAsia" w:ascii="宋体" w:hAnsi="宋体" w:eastAsia="宋体" w:cs="宋体"/>
                <w:kern w:val="0"/>
                <w:sz w:val="16"/>
                <w:szCs w:val="16"/>
              </w:rPr>
              <w:t>项目绩效</w:t>
            </w:r>
          </w:p>
        </w:tc>
        <w:tc>
          <w:tcPr>
            <w:tcW w:w="56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55 </w:t>
            </w:r>
          </w:p>
        </w:tc>
        <w:tc>
          <w:tcPr>
            <w:tcW w:w="851"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项目产出</w:t>
            </w:r>
          </w:p>
        </w:tc>
        <w:tc>
          <w:tcPr>
            <w:tcW w:w="64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15 </w:t>
            </w: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产出数量</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5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项目产出数量达到绩效目标</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对年初或调整后的绩效评价产出数量（按优5分、良3分、中2分、差1分）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5</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产出质量</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4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项目产出质量达到绩效目标</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质量（按优4分、良3分、中2分、差1分）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4</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lang w:eastAsia="zh-CN"/>
              </w:rPr>
            </w:pPr>
            <w:r>
              <w:rPr>
                <w:rFonts w:hint="eastAsia" w:ascii="宋体" w:hAnsi="宋体" w:eastAsia="宋体" w:cs="宋体"/>
                <w:kern w:val="0"/>
                <w:sz w:val="16"/>
                <w:szCs w:val="16"/>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产出时效</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3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项目产出时效达到绩效目标</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时效（按优3分、良2分、中1分、差0分）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3</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lang w:eastAsia="zh-CN"/>
              </w:rPr>
            </w:pPr>
            <w:r>
              <w:rPr>
                <w:rFonts w:hint="eastAsia" w:ascii="宋体" w:hAnsi="宋体" w:eastAsia="宋体" w:cs="宋体"/>
                <w:kern w:val="0"/>
                <w:sz w:val="16"/>
                <w:szCs w:val="16"/>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产出成本</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3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项目产出成本达到绩效目标控制</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对年初或调整后的绩效目标评价产出成本（按优3分、良2分、中1分、差0分）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3</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lang w:eastAsia="zh-CN"/>
              </w:rPr>
            </w:pPr>
            <w:r>
              <w:rPr>
                <w:rFonts w:hint="eastAsia" w:ascii="宋体" w:hAnsi="宋体" w:eastAsia="宋体" w:cs="宋体"/>
                <w:kern w:val="0"/>
                <w:sz w:val="16"/>
                <w:szCs w:val="16"/>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项目效果</w:t>
            </w:r>
          </w:p>
        </w:tc>
        <w:tc>
          <w:tcPr>
            <w:tcW w:w="64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40 </w:t>
            </w: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经济效益</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8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项目实施产生直接或间接经济效益</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评价经济效益8分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社会效益</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8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项目实施产生社会综合效益</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评价社会效益8分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环境效益</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8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项目实施对环境产生积极或消极影响</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评价环境效益8分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可持续影响</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8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项目实施对人、自然、资源带来可持续影响</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评价可持续影响8分</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5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64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 w:val="20"/>
                <w:szCs w:val="20"/>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服务对象满意度</w:t>
            </w: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xml:space="preserve">8 </w:t>
            </w: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项目预期服务对象的满意度</w:t>
            </w: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评价服务对象满意度</w:t>
            </w:r>
          </w:p>
        </w:tc>
        <w:tc>
          <w:tcPr>
            <w:tcW w:w="495"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8</w:t>
            </w: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582" w:type="dxa"/>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 w:val="24"/>
              </w:rPr>
            </w:pPr>
            <w:r>
              <w:rPr>
                <w:rFonts w:hint="eastAsia" w:ascii="宋体" w:hAnsi="宋体" w:eastAsia="宋体" w:cs="宋体"/>
                <w:kern w:val="0"/>
                <w:sz w:val="24"/>
              </w:rPr>
              <w:t>总分</w:t>
            </w:r>
          </w:p>
        </w:tc>
        <w:tc>
          <w:tcPr>
            <w:tcW w:w="567" w:type="dxa"/>
            <w:tcBorders>
              <w:top w:val="nil"/>
              <w:left w:val="single" w:color="auto" w:sz="4" w:space="0"/>
              <w:bottom w:val="nil"/>
              <w:right w:val="single" w:color="auto" w:sz="4" w:space="0"/>
            </w:tcBorders>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7" w:type="dxa"/>
            <w:tcBorders>
              <w:top w:val="nil"/>
              <w:left w:val="single" w:color="auto" w:sz="4" w:space="0"/>
              <w:bottom w:val="nil"/>
              <w:right w:val="single" w:color="auto" w:sz="4" w:space="0"/>
            </w:tcBorders>
            <w:vAlign w:val="center"/>
          </w:tcPr>
          <w:p>
            <w:pPr>
              <w:widowControl/>
              <w:spacing w:line="240" w:lineRule="exact"/>
              <w:jc w:val="right"/>
              <w:rPr>
                <w:rFonts w:ascii="宋体" w:hAnsi="宋体" w:eastAsia="宋体" w:cs="宋体"/>
                <w:kern w:val="0"/>
                <w:sz w:val="18"/>
                <w:szCs w:val="18"/>
              </w:rPr>
            </w:pPr>
            <w:r>
              <w:rPr>
                <w:rFonts w:hint="eastAsia" w:ascii="宋体" w:hAnsi="宋体" w:eastAsia="宋体" w:cs="宋体"/>
                <w:kern w:val="0"/>
                <w:sz w:val="18"/>
                <w:szCs w:val="18"/>
              </w:rPr>
              <w:t>100</w:t>
            </w:r>
          </w:p>
        </w:tc>
        <w:tc>
          <w:tcPr>
            <w:tcW w:w="1225" w:type="dxa"/>
            <w:tcBorders>
              <w:top w:val="nil"/>
              <w:left w:val="nil"/>
              <w:bottom w:val="nil"/>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w:t>
            </w:r>
          </w:p>
        </w:tc>
        <w:tc>
          <w:tcPr>
            <w:tcW w:w="535" w:type="dxa"/>
            <w:tcBorders>
              <w:top w:val="nil"/>
              <w:left w:val="nil"/>
              <w:bottom w:val="nil"/>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100</w:t>
            </w:r>
          </w:p>
        </w:tc>
        <w:tc>
          <w:tcPr>
            <w:tcW w:w="2185" w:type="dxa"/>
            <w:tcBorders>
              <w:top w:val="nil"/>
              <w:left w:val="nil"/>
              <w:bottom w:val="nil"/>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　</w:t>
            </w:r>
          </w:p>
        </w:tc>
        <w:tc>
          <w:tcPr>
            <w:tcW w:w="1680" w:type="dxa"/>
            <w:tcBorders>
              <w:top w:val="nil"/>
              <w:left w:val="nil"/>
              <w:bottom w:val="nil"/>
              <w:right w:val="single" w:color="auto" w:sz="4" w:space="0"/>
            </w:tcBorders>
            <w:vAlign w:val="center"/>
          </w:tcPr>
          <w:p>
            <w:pPr>
              <w:widowControl/>
              <w:spacing w:line="220" w:lineRule="exact"/>
              <w:jc w:val="center"/>
              <w:rPr>
                <w:rFonts w:ascii="宋体" w:hAnsi="宋体" w:eastAsia="宋体" w:cs="宋体"/>
                <w:kern w:val="0"/>
                <w:sz w:val="16"/>
                <w:szCs w:val="16"/>
              </w:rPr>
            </w:pPr>
            <w:r>
              <w:rPr>
                <w:rFonts w:hint="eastAsia" w:ascii="宋体" w:hAnsi="宋体" w:eastAsia="宋体" w:cs="宋体"/>
                <w:kern w:val="0"/>
                <w:sz w:val="16"/>
                <w:szCs w:val="16"/>
              </w:rPr>
              <w:t>　</w:t>
            </w:r>
          </w:p>
        </w:tc>
        <w:tc>
          <w:tcPr>
            <w:tcW w:w="495" w:type="dxa"/>
            <w:tcBorders>
              <w:top w:val="nil"/>
              <w:left w:val="nil"/>
              <w:bottom w:val="nil"/>
              <w:right w:val="single" w:color="auto" w:sz="4" w:space="0"/>
            </w:tcBorders>
            <w:vAlign w:val="center"/>
          </w:tcPr>
          <w:p>
            <w:pPr>
              <w:widowControl/>
              <w:spacing w:line="220" w:lineRule="exact"/>
              <w:jc w:val="left"/>
              <w:rPr>
                <w:rFonts w:ascii="宋体" w:hAnsi="宋体" w:eastAsia="宋体" w:cs="宋体"/>
                <w:kern w:val="0"/>
                <w:sz w:val="16"/>
                <w:szCs w:val="16"/>
              </w:rPr>
            </w:pPr>
            <w:r>
              <w:rPr>
                <w:rFonts w:hint="eastAsia" w:ascii="宋体" w:hAnsi="宋体" w:eastAsia="宋体" w:cs="宋体"/>
                <w:kern w:val="0"/>
                <w:sz w:val="16"/>
                <w:szCs w:val="16"/>
              </w:rPr>
              <w:t>100</w:t>
            </w:r>
          </w:p>
        </w:tc>
        <w:tc>
          <w:tcPr>
            <w:tcW w:w="420" w:type="dxa"/>
            <w:tcBorders>
              <w:top w:val="nil"/>
              <w:left w:val="nil"/>
              <w:bottom w:val="nil"/>
              <w:right w:val="single" w:color="auto" w:sz="4" w:space="0"/>
            </w:tcBorders>
            <w:vAlign w:val="center"/>
          </w:tcPr>
          <w:p>
            <w:pPr>
              <w:widowControl/>
              <w:spacing w:line="220" w:lineRule="exact"/>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582" w:type="dxa"/>
            <w:tcBorders>
              <w:top w:val="nil"/>
              <w:left w:val="single" w:color="auto" w:sz="4" w:space="0"/>
              <w:bottom w:val="single" w:color="000000" w:sz="4" w:space="0"/>
              <w:right w:val="single" w:color="auto" w:sz="4" w:space="0"/>
            </w:tcBorders>
            <w:vAlign w:val="center"/>
          </w:tcPr>
          <w:p>
            <w:pPr>
              <w:widowControl/>
              <w:spacing w:line="240" w:lineRule="exact"/>
              <w:jc w:val="left"/>
              <w:rPr>
                <w:rFonts w:hint="eastAsia" w:ascii="宋体" w:hAnsi="宋体" w:eastAsia="宋体" w:cs="宋体"/>
                <w:kern w:val="0"/>
                <w:sz w:val="24"/>
              </w:rPr>
            </w:pPr>
          </w:p>
        </w:tc>
        <w:tc>
          <w:tcPr>
            <w:tcW w:w="567" w:type="dxa"/>
            <w:tcBorders>
              <w:top w:val="nil"/>
              <w:left w:val="single" w:color="auto" w:sz="4" w:space="0"/>
              <w:bottom w:val="single" w:color="000000" w:sz="4" w:space="0"/>
              <w:right w:val="single" w:color="auto" w:sz="4" w:space="0"/>
            </w:tcBorders>
            <w:vAlign w:val="center"/>
          </w:tcPr>
          <w:p>
            <w:pPr>
              <w:widowControl/>
              <w:spacing w:line="240" w:lineRule="exact"/>
              <w:jc w:val="right"/>
              <w:rPr>
                <w:rFonts w:hint="eastAsia" w:ascii="宋体" w:hAnsi="宋体" w:eastAsia="宋体" w:cs="宋体"/>
                <w:kern w:val="0"/>
                <w:sz w:val="18"/>
                <w:szCs w:val="18"/>
              </w:rPr>
            </w:pPr>
          </w:p>
        </w:tc>
        <w:tc>
          <w:tcPr>
            <w:tcW w:w="851" w:type="dxa"/>
            <w:tcBorders>
              <w:top w:val="nil"/>
              <w:left w:val="single" w:color="auto" w:sz="4" w:space="0"/>
              <w:bottom w:val="single" w:color="000000" w:sz="4" w:space="0"/>
              <w:right w:val="single" w:color="auto" w:sz="4" w:space="0"/>
            </w:tcBorders>
            <w:vAlign w:val="center"/>
          </w:tcPr>
          <w:p>
            <w:pPr>
              <w:widowControl/>
              <w:spacing w:line="240" w:lineRule="exact"/>
              <w:jc w:val="left"/>
              <w:rPr>
                <w:rFonts w:hint="eastAsia" w:ascii="宋体" w:hAnsi="宋体" w:eastAsia="宋体" w:cs="宋体"/>
                <w:kern w:val="0"/>
                <w:sz w:val="18"/>
                <w:szCs w:val="18"/>
              </w:rPr>
            </w:pPr>
          </w:p>
        </w:tc>
        <w:tc>
          <w:tcPr>
            <w:tcW w:w="647" w:type="dxa"/>
            <w:tcBorders>
              <w:top w:val="nil"/>
              <w:left w:val="single" w:color="auto" w:sz="4" w:space="0"/>
              <w:bottom w:val="single" w:color="000000" w:sz="4" w:space="0"/>
              <w:right w:val="single" w:color="auto" w:sz="4" w:space="0"/>
            </w:tcBorders>
            <w:vAlign w:val="center"/>
          </w:tcPr>
          <w:p>
            <w:pPr>
              <w:widowControl/>
              <w:spacing w:line="240" w:lineRule="exact"/>
              <w:jc w:val="right"/>
              <w:rPr>
                <w:rFonts w:hint="eastAsia" w:ascii="宋体" w:hAnsi="宋体" w:eastAsia="宋体" w:cs="宋体"/>
                <w:kern w:val="0"/>
                <w:sz w:val="18"/>
                <w:szCs w:val="18"/>
              </w:rPr>
            </w:pPr>
          </w:p>
        </w:tc>
        <w:tc>
          <w:tcPr>
            <w:tcW w:w="1225"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rPr>
            </w:pPr>
          </w:p>
        </w:tc>
        <w:tc>
          <w:tcPr>
            <w:tcW w:w="535"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rPr>
            </w:pPr>
          </w:p>
        </w:tc>
        <w:tc>
          <w:tcPr>
            <w:tcW w:w="2185" w:type="dxa"/>
            <w:tcBorders>
              <w:top w:val="nil"/>
              <w:left w:val="nil"/>
              <w:bottom w:val="single" w:color="auto" w:sz="4" w:space="0"/>
              <w:right w:val="single" w:color="auto" w:sz="4" w:space="0"/>
            </w:tcBorders>
            <w:vAlign w:val="center"/>
          </w:tcPr>
          <w:p>
            <w:pPr>
              <w:widowControl/>
              <w:spacing w:line="220" w:lineRule="exact"/>
              <w:jc w:val="left"/>
              <w:rPr>
                <w:rFonts w:hint="eastAsia" w:ascii="宋体" w:hAnsi="宋体" w:eastAsia="宋体" w:cs="宋体"/>
                <w:kern w:val="0"/>
                <w:sz w:val="16"/>
                <w:szCs w:val="16"/>
              </w:rPr>
            </w:pPr>
          </w:p>
        </w:tc>
        <w:tc>
          <w:tcPr>
            <w:tcW w:w="168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20" w:lineRule="exact"/>
              <w:jc w:val="left"/>
              <w:rPr>
                <w:rFonts w:hint="eastAsia" w:ascii="宋体" w:hAnsi="宋体" w:eastAsia="宋体" w:cs="宋体"/>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6"/>
                <w:szCs w:val="16"/>
              </w:rPr>
            </w:pPr>
          </w:p>
        </w:tc>
      </w:tr>
    </w:tbl>
    <w:p>
      <w:pPr>
        <w:spacing w:line="578" w:lineRule="exact"/>
        <w:ind w:firstLine="640" w:firstLineChars="200"/>
        <w:outlineLvl w:val="0"/>
        <w:rPr>
          <w:rFonts w:ascii="黑体" w:eastAsia="黑体"/>
          <w:bCs/>
          <w:szCs w:val="32"/>
        </w:rPr>
      </w:pPr>
    </w:p>
    <w:p>
      <w:pPr>
        <w:numPr>
          <w:ilvl w:val="0"/>
          <w:numId w:val="1"/>
        </w:numPr>
        <w:spacing w:line="578" w:lineRule="exact"/>
        <w:ind w:firstLine="640" w:firstLineChars="200"/>
        <w:outlineLvl w:val="0"/>
        <w:rPr>
          <w:rFonts w:hint="eastAsia" w:ascii="黑体" w:eastAsia="黑体"/>
          <w:bCs/>
          <w:szCs w:val="32"/>
        </w:rPr>
      </w:pPr>
      <w:r>
        <w:rPr>
          <w:rFonts w:hint="eastAsia" w:ascii="黑体" w:eastAsia="黑体"/>
          <w:bCs/>
          <w:szCs w:val="32"/>
        </w:rPr>
        <w:t>主要经验及做法、存在的问题和建议</w:t>
      </w:r>
    </w:p>
    <w:p>
      <w:pPr>
        <w:spacing w:line="360" w:lineRule="auto"/>
        <w:ind w:firstLine="640" w:firstLineChars="200"/>
        <w:outlineLvl w:val="0"/>
        <w:rPr>
          <w:rFonts w:hint="eastAsia" w:ascii="黑体" w:eastAsia="黑体"/>
          <w:bCs/>
          <w:szCs w:val="32"/>
        </w:rPr>
      </w:pPr>
      <w:bookmarkStart w:id="0" w:name="_Toc468979842"/>
      <w:bookmarkStart w:id="1" w:name="_Toc468967112"/>
      <w:bookmarkStart w:id="2" w:name="_Toc468967086"/>
      <w:r>
        <w:rPr>
          <w:rFonts w:hint="eastAsia" w:ascii="仿宋_GB2312" w:hAnsi="仿宋" w:eastAsia="仿宋_GB2312" w:cs="仿宋_GB2312"/>
          <w:sz w:val="32"/>
          <w:szCs w:val="32"/>
        </w:rPr>
        <w:t>（一）主要经验及做法</w:t>
      </w:r>
      <w:bookmarkEnd w:id="0"/>
      <w:bookmarkEnd w:id="1"/>
      <w:bookmarkEnd w:id="2"/>
    </w:p>
    <w:p>
      <w:pPr>
        <w:keepNext w:val="0"/>
        <w:keepLines w:val="0"/>
        <w:pageBreakBefore w:val="0"/>
        <w:pBdr>
          <w:top w:val="none" w:color="000000" w:sz="0" w:space="0"/>
          <w:left w:val="none" w:color="000000" w:sz="0" w:space="1"/>
          <w:bottom w:val="none" w:color="000000" w:sz="0" w:space="2"/>
          <w:right w:val="none" w:color="000000" w:sz="0" w:space="0"/>
        </w:pBdr>
        <w:shd w:val="clear" w:color="F5F7EE" w:fill="auto"/>
        <w:kinsoku/>
        <w:wordWrap/>
        <w:overflowPunct/>
        <w:topLinePunct w:val="0"/>
        <w:autoSpaceDE/>
        <w:autoSpaceDN w:val="0"/>
        <w:bidi w:val="0"/>
        <w:adjustRightInd/>
        <w:snapToGrid/>
        <w:spacing w:line="480" w:lineRule="exact"/>
        <w:ind w:firstLine="960" w:firstLineChars="300"/>
        <w:textAlignment w:val="auto"/>
        <w:rPr>
          <w:rFonts w:hint="eastAsia" w:ascii="仿宋" w:hAnsi="仿宋" w:eastAsia="仿宋" w:cs="Times New Roman"/>
          <w:szCs w:val="32"/>
          <w:lang w:eastAsia="zh-CN"/>
        </w:rPr>
      </w:pPr>
      <w:r>
        <w:rPr>
          <w:rFonts w:hint="eastAsia" w:ascii="仿宋" w:hAnsi="仿宋" w:eastAsia="仿宋" w:cs="Times New Roman"/>
          <w:szCs w:val="32"/>
          <w:lang w:val="en-US" w:eastAsia="zh-CN"/>
        </w:rPr>
        <w:t>1.</w:t>
      </w:r>
      <w:r>
        <w:rPr>
          <w:rFonts w:hint="eastAsia" w:ascii="仿宋" w:hAnsi="仿宋" w:eastAsia="仿宋" w:cs="Times New Roman"/>
          <w:szCs w:val="32"/>
        </w:rPr>
        <w:t>目标设定明确</w:t>
      </w:r>
      <w:r>
        <w:rPr>
          <w:rFonts w:hint="eastAsia" w:ascii="仿宋" w:hAnsi="仿宋" w:eastAsia="仿宋" w:cs="Times New Roman"/>
          <w:szCs w:val="32"/>
          <w:lang w:eastAsia="zh-CN"/>
        </w:rPr>
        <w:t>。</w:t>
      </w:r>
    </w:p>
    <w:p>
      <w:pPr>
        <w:keepNext w:val="0"/>
        <w:keepLines w:val="0"/>
        <w:pageBreakBefore w:val="0"/>
        <w:pBdr>
          <w:top w:val="none" w:color="000000" w:sz="0" w:space="0"/>
          <w:left w:val="none" w:color="000000" w:sz="0" w:space="1"/>
          <w:bottom w:val="none" w:color="000000" w:sz="0" w:space="2"/>
          <w:right w:val="none" w:color="000000" w:sz="0" w:space="0"/>
        </w:pBdr>
        <w:shd w:val="clear" w:color="F5F7EE" w:fill="auto"/>
        <w:kinsoku/>
        <w:wordWrap/>
        <w:overflowPunct/>
        <w:topLinePunct w:val="0"/>
        <w:autoSpaceDE/>
        <w:autoSpaceDN w:val="0"/>
        <w:bidi w:val="0"/>
        <w:adjustRightInd/>
        <w:snapToGrid/>
        <w:spacing w:line="480" w:lineRule="exact"/>
        <w:ind w:firstLine="640" w:firstLineChars="200"/>
        <w:textAlignment w:val="auto"/>
        <w:rPr>
          <w:rFonts w:hint="eastAsia" w:ascii="仿宋" w:hAnsi="仿宋" w:eastAsia="仿宋" w:cs="Times New Roman"/>
          <w:szCs w:val="32"/>
        </w:rPr>
      </w:pPr>
      <w:r>
        <w:rPr>
          <w:rFonts w:hint="eastAsia" w:ascii="仿宋" w:hAnsi="仿宋" w:eastAsia="仿宋" w:cs="Times New Roman"/>
          <w:szCs w:val="32"/>
          <w:lang w:eastAsia="zh-CN"/>
        </w:rPr>
        <w:t>我院</w:t>
      </w:r>
      <w:r>
        <w:rPr>
          <w:rFonts w:hint="eastAsia" w:ascii="仿宋" w:hAnsi="仿宋" w:eastAsia="仿宋" w:cs="Times New Roman"/>
          <w:szCs w:val="32"/>
        </w:rPr>
        <w:t>部门职责明确，活动符合部门中长期规划及部门年度工作安排与发展规划。使用资金符合相关的账务管理制度的规定，做到了基础信息完整，采取各种措施确保项目质量目标的实现。</w:t>
      </w:r>
    </w:p>
    <w:p>
      <w:pPr>
        <w:keepNext w:val="0"/>
        <w:keepLines w:val="0"/>
        <w:pageBreakBefore w:val="0"/>
        <w:pBdr>
          <w:top w:val="none" w:color="000000" w:sz="0" w:space="0"/>
          <w:left w:val="none" w:color="000000" w:sz="0" w:space="1"/>
          <w:bottom w:val="none" w:color="000000" w:sz="0" w:space="2"/>
          <w:right w:val="none" w:color="000000" w:sz="0" w:space="0"/>
        </w:pBdr>
        <w:shd w:val="clear" w:color="F5F7EE" w:fill="auto"/>
        <w:kinsoku/>
        <w:wordWrap/>
        <w:overflowPunct/>
        <w:topLinePunct w:val="0"/>
        <w:autoSpaceDE/>
        <w:autoSpaceDN w:val="0"/>
        <w:bidi w:val="0"/>
        <w:adjustRightInd/>
        <w:snapToGrid/>
        <w:spacing w:line="480" w:lineRule="exact"/>
        <w:ind w:firstLine="640" w:firstLineChars="200"/>
        <w:textAlignment w:val="auto"/>
        <w:rPr>
          <w:rFonts w:hint="eastAsia" w:ascii="仿宋" w:hAnsi="仿宋" w:eastAsia="仿宋" w:cs="Times New Roman"/>
          <w:szCs w:val="32"/>
        </w:rPr>
      </w:pPr>
      <w:r>
        <w:rPr>
          <w:rFonts w:hint="eastAsia" w:ascii="仿宋" w:hAnsi="仿宋" w:eastAsia="仿宋" w:cs="Times New Roman"/>
          <w:szCs w:val="32"/>
          <w:lang w:val="en-US" w:eastAsia="zh-CN"/>
        </w:rPr>
        <w:t>2.</w:t>
      </w:r>
      <w:r>
        <w:rPr>
          <w:rFonts w:hint="eastAsia" w:ascii="仿宋" w:hAnsi="仿宋" w:eastAsia="仿宋" w:cs="Times New Roman"/>
          <w:szCs w:val="32"/>
        </w:rPr>
        <w:t>资金使用合规，</w:t>
      </w:r>
      <w:r>
        <w:rPr>
          <w:rFonts w:hint="eastAsia" w:ascii="仿宋" w:hAnsi="仿宋" w:eastAsia="仿宋" w:cs="Times New Roman"/>
          <w:szCs w:val="32"/>
          <w:lang w:eastAsia="zh-CN"/>
        </w:rPr>
        <w:t>行政运行</w:t>
      </w:r>
      <w:r>
        <w:rPr>
          <w:rFonts w:hint="eastAsia" w:ascii="仿宋" w:hAnsi="仿宋" w:eastAsia="仿宋" w:cs="Times New Roman"/>
          <w:szCs w:val="32"/>
        </w:rPr>
        <w:t>经费控制合理</w:t>
      </w:r>
    </w:p>
    <w:p>
      <w:pPr>
        <w:keepNext w:val="0"/>
        <w:keepLines w:val="0"/>
        <w:pageBreakBefore w:val="0"/>
        <w:pBdr>
          <w:top w:val="none" w:color="000000" w:sz="0" w:space="0"/>
          <w:left w:val="none" w:color="000000" w:sz="0" w:space="1"/>
          <w:bottom w:val="none" w:color="000000" w:sz="0" w:space="2"/>
          <w:right w:val="none" w:color="000000" w:sz="0" w:space="0"/>
        </w:pBdr>
        <w:shd w:val="clear" w:color="F5F7EE" w:fill="auto"/>
        <w:kinsoku/>
        <w:wordWrap/>
        <w:overflowPunct/>
        <w:topLinePunct w:val="0"/>
        <w:autoSpaceDE/>
        <w:autoSpaceDN w:val="0"/>
        <w:bidi w:val="0"/>
        <w:adjustRightInd/>
        <w:snapToGrid/>
        <w:spacing w:line="480" w:lineRule="exact"/>
        <w:ind w:firstLine="640" w:firstLineChars="200"/>
        <w:textAlignment w:val="auto"/>
        <w:rPr>
          <w:rFonts w:hint="eastAsia" w:ascii="仿宋" w:hAnsi="仿宋" w:eastAsia="仿宋" w:cs="Times New Roman"/>
          <w:szCs w:val="32"/>
          <w:lang w:eastAsia="zh-CN"/>
        </w:rPr>
      </w:pPr>
      <w:r>
        <w:rPr>
          <w:rFonts w:hint="eastAsia" w:ascii="仿宋" w:hAnsi="仿宋" w:eastAsia="仿宋" w:cs="Times New Roman"/>
          <w:szCs w:val="32"/>
          <w:lang w:eastAsia="zh-CN"/>
        </w:rPr>
        <w:t>资金使用符合财务管理制度规定，符合部门预算批复的用途，资金拨付有完整的审批过程和手续，未发现有截留、挤占、挪用、虚列支出的情况，同时行政运行项目经费支出严格控制在预算范围内。</w:t>
      </w:r>
    </w:p>
    <w:p>
      <w:pPr>
        <w:spacing w:line="360" w:lineRule="auto"/>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（二）存在的问题</w:t>
      </w:r>
    </w:p>
    <w:p>
      <w:pPr>
        <w:keepNext w:val="0"/>
        <w:keepLines w:val="0"/>
        <w:pageBreakBefore w:val="0"/>
        <w:pBdr>
          <w:top w:val="none" w:color="000000" w:sz="0" w:space="0"/>
          <w:left w:val="none" w:color="000000" w:sz="0" w:space="1"/>
          <w:bottom w:val="none" w:color="000000" w:sz="0" w:space="2"/>
          <w:right w:val="none" w:color="000000" w:sz="0" w:space="0"/>
        </w:pBdr>
        <w:shd w:val="clear" w:color="F5F7EE" w:fill="auto"/>
        <w:kinsoku/>
        <w:wordWrap/>
        <w:overflowPunct/>
        <w:topLinePunct w:val="0"/>
        <w:autoSpaceDE/>
        <w:autoSpaceDN w:val="0"/>
        <w:bidi w:val="0"/>
        <w:adjustRightInd/>
        <w:snapToGrid/>
        <w:spacing w:line="480" w:lineRule="exact"/>
        <w:ind w:firstLine="640" w:firstLineChars="200"/>
        <w:textAlignment w:val="auto"/>
        <w:rPr>
          <w:rFonts w:hint="eastAsia" w:ascii="仿宋" w:hAnsi="仿宋" w:eastAsia="仿宋" w:cs="Times New Roman"/>
          <w:szCs w:val="32"/>
          <w:lang w:eastAsia="zh-CN"/>
        </w:rPr>
      </w:pPr>
      <w:r>
        <w:rPr>
          <w:rFonts w:hint="eastAsia" w:ascii="仿宋" w:hAnsi="仿宋" w:eastAsia="仿宋" w:cs="Times New Roman"/>
          <w:szCs w:val="32"/>
          <w:lang w:eastAsia="zh-CN"/>
        </w:rPr>
        <w:t>绩效管理专业人员匮乏，规范管理有盲点。预算绩效管理工作的覆盖面广、专业性强，不论预算单位在开展日常管理，还是财政部门组织实施绩效评价，都需要具备一定专业技能和工作经验。</w:t>
      </w:r>
    </w:p>
    <w:p>
      <w:pPr>
        <w:numPr>
          <w:ilvl w:val="0"/>
          <w:numId w:val="2"/>
        </w:numPr>
        <w:spacing w:line="360" w:lineRule="auto"/>
        <w:ind w:left="640" w:leftChars="200"/>
        <w:outlineLvl w:val="0"/>
        <w:rPr>
          <w:rFonts w:hint="eastAsia" w:ascii="仿宋_GB2312" w:hAnsi="仿宋" w:eastAsia="仿宋_GB2312" w:cs="仿宋_GB2312"/>
          <w:sz w:val="32"/>
          <w:szCs w:val="32"/>
        </w:rPr>
      </w:pPr>
      <w:r>
        <w:rPr>
          <w:rFonts w:hint="eastAsia" w:hAnsi="仿宋" w:cs="仿宋_GB2312"/>
          <w:sz w:val="32"/>
          <w:szCs w:val="32"/>
          <w:lang w:eastAsia="zh-CN"/>
        </w:rPr>
        <w:t>意见建</w:t>
      </w:r>
      <w:r>
        <w:rPr>
          <w:rFonts w:hint="eastAsia" w:ascii="仿宋_GB2312" w:hAnsi="仿宋" w:eastAsia="仿宋_GB2312" w:cs="仿宋_GB2312"/>
          <w:sz w:val="32"/>
          <w:szCs w:val="32"/>
        </w:rPr>
        <w:t>议</w:t>
      </w:r>
    </w:p>
    <w:p>
      <w:pPr>
        <w:numPr>
          <w:numId w:val="0"/>
        </w:numPr>
        <w:spacing w:line="360" w:lineRule="auto"/>
        <w:outlineLvl w:val="0"/>
        <w:rPr>
          <w:rFonts w:hint="eastAsia" w:ascii="仿宋" w:hAnsi="仿宋" w:eastAsia="仿宋" w:cs="Times New Roman"/>
          <w:szCs w:val="32"/>
          <w:lang w:eastAsia="zh-CN"/>
        </w:rPr>
      </w:pPr>
      <w:r>
        <w:rPr>
          <w:rFonts w:hint="eastAsia" w:hAnsi="仿宋" w:cs="仿宋_GB2312"/>
          <w:sz w:val="32"/>
          <w:szCs w:val="32"/>
          <w:lang w:val="en-US" w:eastAsia="zh-CN"/>
        </w:rPr>
        <w:t xml:space="preserve">    加强财务队伍建设，提高绩效管理水平。针对当前预算绩效管理专业队伍缺乏和管理人员专业技能不强的现状，财政部门主管部门要定期举办学习培训、业务交流等措施，帮助和促进现有人员提高政策理论水平、实际工作能力。</w:t>
      </w:r>
      <w:bookmarkStart w:id="4" w:name="_GoBack"/>
      <w:bookmarkEnd w:id="4"/>
    </w:p>
    <w:p>
      <w:pPr>
        <w:spacing w:line="578" w:lineRule="exact"/>
        <w:ind w:firstLine="640" w:firstLineChars="200"/>
        <w:outlineLvl w:val="0"/>
        <w:rPr>
          <w:rFonts w:ascii="黑体" w:hAnsi="宋体" w:eastAsia="黑体"/>
          <w:sz w:val="28"/>
          <w:szCs w:val="28"/>
        </w:rPr>
      </w:pPr>
      <w:r>
        <w:rPr>
          <w:rFonts w:hint="eastAsia" w:ascii="黑体" w:eastAsia="黑体"/>
          <w:bCs/>
          <w:szCs w:val="32"/>
        </w:rPr>
        <w:t>七、其他需说明的问题</w:t>
      </w:r>
    </w:p>
    <w:p>
      <w:pPr>
        <w:spacing w:line="520" w:lineRule="exact"/>
        <w:ind w:firstLine="640" w:firstLineChars="200"/>
        <w:rPr>
          <w:rFonts w:hint="eastAsia" w:ascii="仿宋" w:hAnsi="仿宋" w:eastAsia="仿宋" w:cs="Times New Roman"/>
          <w:szCs w:val="32"/>
        </w:rPr>
      </w:pPr>
      <w:bookmarkStart w:id="3" w:name="OLE_LINK3"/>
      <w:r>
        <w:rPr>
          <w:rFonts w:hint="eastAsia" w:ascii="仿宋" w:hAnsi="仿宋" w:eastAsia="仿宋" w:cs="Times New Roman"/>
          <w:szCs w:val="32"/>
          <w:lang w:eastAsia="zh-CN"/>
        </w:rPr>
        <w:t>我院应</w:t>
      </w:r>
      <w:r>
        <w:rPr>
          <w:rFonts w:hint="eastAsia" w:ascii="仿宋" w:hAnsi="仿宋" w:eastAsia="仿宋" w:cs="Times New Roman"/>
          <w:szCs w:val="32"/>
        </w:rPr>
        <w:t>根据部门实际情况、项目性质，合理安排部门年度任务数，并分季度制定资金支付计划，</w:t>
      </w:r>
      <w:r>
        <w:rPr>
          <w:rFonts w:hint="eastAsia" w:ascii="仿宋" w:hAnsi="仿宋" w:eastAsia="仿宋" w:cs="Times New Roman"/>
          <w:szCs w:val="32"/>
          <w:lang w:eastAsia="zh-CN"/>
        </w:rPr>
        <w:t>严格控制支付进度，保证季度支付及时、均衡进行。</w:t>
      </w:r>
    </w:p>
    <w:p>
      <w:pPr>
        <w:keepNext w:val="0"/>
        <w:keepLines w:val="0"/>
        <w:pageBreakBefore w:val="0"/>
        <w:widowControl w:val="0"/>
        <w:pBdr>
          <w:top w:val="none" w:color="000000" w:sz="0" w:space="0"/>
          <w:left w:val="none" w:color="000000" w:sz="0" w:space="1"/>
          <w:bottom w:val="none" w:color="000000" w:sz="0" w:space="2"/>
          <w:right w:val="none" w:color="000000" w:sz="0" w:space="0"/>
        </w:pBdr>
        <w:shd w:val="clear" w:color="F5F7EE" w:fill="auto"/>
        <w:kinsoku/>
        <w:wordWrap/>
        <w:overflowPunct/>
        <w:topLinePunct w:val="0"/>
        <w:autoSpaceDE/>
        <w:autoSpaceDN w:val="0"/>
        <w:bidi w:val="0"/>
        <w:adjustRightInd/>
        <w:snapToGrid/>
        <w:spacing w:line="480" w:lineRule="exact"/>
        <w:ind w:firstLine="640" w:firstLineChars="200"/>
        <w:jc w:val="both"/>
        <w:textAlignment w:val="auto"/>
        <w:rPr>
          <w:rFonts w:hint="eastAsia" w:ascii="仿宋" w:hAnsi="仿宋" w:eastAsia="仿宋" w:cs="Times New Roman"/>
          <w:szCs w:val="32"/>
          <w:lang w:eastAsia="zh-CN"/>
        </w:rPr>
      </w:pPr>
      <w:r>
        <w:rPr>
          <w:rFonts w:hint="eastAsia" w:ascii="仿宋" w:hAnsi="仿宋" w:eastAsia="仿宋" w:cs="Times New Roman"/>
          <w:szCs w:val="32"/>
          <w:lang w:eastAsia="zh-CN"/>
        </w:rPr>
        <w:t>在预算编制时应结合项目投资计划，提高预算编制的精准度水平。落实项目资金分配方案，加强对项目支出预算执行的后续跟踪，切实抓好项目支出管理，保证项目实施进度。做好项目结转结余资金管理与预算执行管理相衔接，及时取得发票办理结算、报账等相关手续，提高资金使用效率。</w:t>
      </w:r>
      <w:r>
        <w:rPr>
          <w:rFonts w:hint="eastAsia" w:ascii="仿宋" w:hAnsi="仿宋" w:eastAsia="仿宋"/>
          <w:szCs w:val="32"/>
        </w:rPr>
        <w:t>在预算执行中，</w:t>
      </w:r>
      <w:r>
        <w:rPr>
          <w:rFonts w:hint="eastAsia" w:ascii="仿宋" w:hAnsi="仿宋" w:eastAsia="仿宋"/>
          <w:szCs w:val="32"/>
          <w:lang w:eastAsia="zh-CN"/>
        </w:rPr>
        <w:t>应</w:t>
      </w:r>
      <w:r>
        <w:rPr>
          <w:rFonts w:hint="eastAsia" w:ascii="仿宋" w:hAnsi="仿宋" w:eastAsia="仿宋" w:cs="Times New Roman"/>
          <w:szCs w:val="32"/>
          <w:lang w:eastAsia="zh-CN"/>
        </w:rPr>
        <w:t>合理编制年初部门预算，狠抓预算执行进度，统筹安排支出，缩小部门实际项目支出和预算差异，对已下达指标的项目应</w:t>
      </w:r>
      <w:r>
        <w:rPr>
          <w:rFonts w:hint="eastAsia" w:ascii="仿宋" w:hAnsi="仿宋" w:eastAsia="仿宋" w:cs="Times New Roman"/>
          <w:szCs w:val="32"/>
          <w:lang w:val="en-US" w:eastAsia="zh-CN"/>
        </w:rPr>
        <w:t>详细</w:t>
      </w:r>
      <w:r>
        <w:rPr>
          <w:rFonts w:hint="eastAsia" w:ascii="仿宋" w:hAnsi="仿宋" w:eastAsia="仿宋" w:cs="Times New Roman"/>
          <w:szCs w:val="32"/>
          <w:lang w:eastAsia="zh-CN"/>
        </w:rPr>
        <w:t>规划并</w:t>
      </w:r>
      <w:r>
        <w:rPr>
          <w:rFonts w:hint="eastAsia" w:ascii="仿宋" w:hAnsi="仿宋" w:eastAsia="仿宋" w:cs="Times New Roman"/>
          <w:szCs w:val="32"/>
          <w:lang w:val="en-US" w:eastAsia="zh-CN"/>
        </w:rPr>
        <w:t>按时</w:t>
      </w:r>
      <w:r>
        <w:rPr>
          <w:rFonts w:hint="eastAsia" w:ascii="仿宋" w:hAnsi="仿宋" w:eastAsia="仿宋" w:cs="Times New Roman"/>
          <w:szCs w:val="32"/>
          <w:lang w:eastAsia="zh-CN"/>
        </w:rPr>
        <w:t>实施，及时完成项目建设。</w:t>
      </w:r>
    </w:p>
    <w:bookmarkEnd w:id="3"/>
    <w:p>
      <w:pPr>
        <w:widowControl/>
        <w:spacing w:line="578" w:lineRule="exact"/>
        <w:jc w:val="left"/>
        <w:rPr>
          <w:rFonts w:hAnsi="宋体"/>
          <w:szCs w:val="32"/>
        </w:rPr>
      </w:pPr>
    </w:p>
    <w:p>
      <w:pPr>
        <w:widowControl/>
        <w:spacing w:line="578" w:lineRule="exact"/>
        <w:jc w:val="left"/>
        <w:rPr>
          <w:rFonts w:hAnsi="宋体"/>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A5CBB"/>
    <w:multiLevelType w:val="singleLevel"/>
    <w:tmpl w:val="910A5CBB"/>
    <w:lvl w:ilvl="0" w:tentative="0">
      <w:start w:val="3"/>
      <w:numFmt w:val="chineseCounting"/>
      <w:suff w:val="nothing"/>
      <w:lvlText w:val="（%1）"/>
      <w:lvlJc w:val="left"/>
      <w:rPr>
        <w:rFonts w:hint="eastAsia"/>
      </w:rPr>
    </w:lvl>
  </w:abstractNum>
  <w:abstractNum w:abstractNumId="1">
    <w:nsid w:val="9391F3D5"/>
    <w:multiLevelType w:val="singleLevel"/>
    <w:tmpl w:val="9391F3D5"/>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AD4EC3"/>
    <w:rsid w:val="034E2B32"/>
    <w:rsid w:val="03601FCE"/>
    <w:rsid w:val="04EF1C17"/>
    <w:rsid w:val="05D6105D"/>
    <w:rsid w:val="0678282E"/>
    <w:rsid w:val="06851182"/>
    <w:rsid w:val="077607C5"/>
    <w:rsid w:val="07C5783E"/>
    <w:rsid w:val="08403721"/>
    <w:rsid w:val="088E1477"/>
    <w:rsid w:val="095B2CFC"/>
    <w:rsid w:val="09874EA2"/>
    <w:rsid w:val="0B30478C"/>
    <w:rsid w:val="0BF8709C"/>
    <w:rsid w:val="0E3966AF"/>
    <w:rsid w:val="0ECD0A17"/>
    <w:rsid w:val="0ED54BD3"/>
    <w:rsid w:val="0F375EF1"/>
    <w:rsid w:val="10EA429C"/>
    <w:rsid w:val="117607A3"/>
    <w:rsid w:val="12A447A9"/>
    <w:rsid w:val="13B87010"/>
    <w:rsid w:val="16CE046B"/>
    <w:rsid w:val="16D247BE"/>
    <w:rsid w:val="17220C19"/>
    <w:rsid w:val="184F758C"/>
    <w:rsid w:val="187E168F"/>
    <w:rsid w:val="1956475D"/>
    <w:rsid w:val="19744B3C"/>
    <w:rsid w:val="1BED5278"/>
    <w:rsid w:val="1DB845FC"/>
    <w:rsid w:val="1DE70870"/>
    <w:rsid w:val="1E0D164F"/>
    <w:rsid w:val="1F21736A"/>
    <w:rsid w:val="1F38131B"/>
    <w:rsid w:val="1F58174C"/>
    <w:rsid w:val="1F963D93"/>
    <w:rsid w:val="20436FA1"/>
    <w:rsid w:val="21650AA8"/>
    <w:rsid w:val="21FD7F85"/>
    <w:rsid w:val="250B7FC2"/>
    <w:rsid w:val="252D4C2B"/>
    <w:rsid w:val="26D84FD8"/>
    <w:rsid w:val="270B2202"/>
    <w:rsid w:val="283A1D9E"/>
    <w:rsid w:val="2B9F0A4D"/>
    <w:rsid w:val="2C375182"/>
    <w:rsid w:val="2C4965E2"/>
    <w:rsid w:val="2D8408F1"/>
    <w:rsid w:val="2EC6311E"/>
    <w:rsid w:val="308873B0"/>
    <w:rsid w:val="31114FFE"/>
    <w:rsid w:val="31CB34FB"/>
    <w:rsid w:val="3240767C"/>
    <w:rsid w:val="33AD685E"/>
    <w:rsid w:val="33B826DF"/>
    <w:rsid w:val="3510064A"/>
    <w:rsid w:val="35A532E7"/>
    <w:rsid w:val="39980C6E"/>
    <w:rsid w:val="3B573430"/>
    <w:rsid w:val="3B6F32D8"/>
    <w:rsid w:val="3CBC1F5A"/>
    <w:rsid w:val="41E11CA7"/>
    <w:rsid w:val="42192A7A"/>
    <w:rsid w:val="433177A3"/>
    <w:rsid w:val="44804C40"/>
    <w:rsid w:val="45721628"/>
    <w:rsid w:val="46CC47AE"/>
    <w:rsid w:val="47AB2215"/>
    <w:rsid w:val="47EA19CE"/>
    <w:rsid w:val="48676309"/>
    <w:rsid w:val="489C660A"/>
    <w:rsid w:val="48F63E18"/>
    <w:rsid w:val="4C544D4F"/>
    <w:rsid w:val="4C5916EF"/>
    <w:rsid w:val="4CF73801"/>
    <w:rsid w:val="4D720AD8"/>
    <w:rsid w:val="4E6E1FD6"/>
    <w:rsid w:val="4FE24558"/>
    <w:rsid w:val="50162A05"/>
    <w:rsid w:val="51BD0F58"/>
    <w:rsid w:val="527E021F"/>
    <w:rsid w:val="54DB37A5"/>
    <w:rsid w:val="553F2D11"/>
    <w:rsid w:val="55EE1136"/>
    <w:rsid w:val="562E7630"/>
    <w:rsid w:val="565A023A"/>
    <w:rsid w:val="56A579BF"/>
    <w:rsid w:val="56D02DF7"/>
    <w:rsid w:val="56ED22F6"/>
    <w:rsid w:val="574C0985"/>
    <w:rsid w:val="58E47F8F"/>
    <w:rsid w:val="59FA02FC"/>
    <w:rsid w:val="5D106060"/>
    <w:rsid w:val="5D312DFF"/>
    <w:rsid w:val="5DD47191"/>
    <w:rsid w:val="5F2135BA"/>
    <w:rsid w:val="604C462C"/>
    <w:rsid w:val="60C52C05"/>
    <w:rsid w:val="627F062A"/>
    <w:rsid w:val="63EE2B91"/>
    <w:rsid w:val="67156001"/>
    <w:rsid w:val="67504239"/>
    <w:rsid w:val="675755FC"/>
    <w:rsid w:val="678E7CC7"/>
    <w:rsid w:val="67ED19DC"/>
    <w:rsid w:val="68E83533"/>
    <w:rsid w:val="6A672FAA"/>
    <w:rsid w:val="6AD33281"/>
    <w:rsid w:val="6B7F445C"/>
    <w:rsid w:val="6C6C1BD5"/>
    <w:rsid w:val="6D9720F4"/>
    <w:rsid w:val="6E8D4C2A"/>
    <w:rsid w:val="6FEF7F96"/>
    <w:rsid w:val="719E1E76"/>
    <w:rsid w:val="72213F18"/>
    <w:rsid w:val="73407814"/>
    <w:rsid w:val="73E6363A"/>
    <w:rsid w:val="74910CC3"/>
    <w:rsid w:val="7548578A"/>
    <w:rsid w:val="76327C0A"/>
    <w:rsid w:val="765B7F10"/>
    <w:rsid w:val="76C754B0"/>
    <w:rsid w:val="77906AAB"/>
    <w:rsid w:val="77D20E52"/>
    <w:rsid w:val="78553113"/>
    <w:rsid w:val="78F51662"/>
    <w:rsid w:val="7A0C6A54"/>
    <w:rsid w:val="7B246E67"/>
    <w:rsid w:val="7B4E58DB"/>
    <w:rsid w:val="7B65715E"/>
    <w:rsid w:val="7C856C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0"/>
    <w:pPr>
      <w:spacing w:line="360" w:lineRule="auto"/>
      <w:ind w:firstLine="420" w:firstLineChars="200"/>
    </w:pPr>
    <w:rPr>
      <w:rFonts w:ascii="Calibri" w:hAnsi="Calibri" w:eastAsia="宋体"/>
      <w:sz w:val="28"/>
      <w:szCs w:val="22"/>
    </w:rPr>
  </w:style>
  <w:style w:type="paragraph" w:customStyle="1" w:styleId="8">
    <w:name w:val="列出段落1"/>
    <w:basedOn w:val="1"/>
    <w:qFormat/>
    <w:uiPriority w:val="0"/>
    <w:pPr>
      <w:spacing w:line="360" w:lineRule="auto"/>
      <w:ind w:firstLine="420" w:firstLineChars="200"/>
    </w:pPr>
    <w:rPr>
      <w:rFonts w:ascii="Calibri" w:hAnsi="Calibri" w:eastAsia="宋体"/>
      <w:sz w:val="28"/>
      <w:szCs w:val="22"/>
    </w:rPr>
  </w:style>
  <w:style w:type="character" w:customStyle="1" w:styleId="9">
    <w:name w:val="批注框文本 Char"/>
    <w:basedOn w:val="6"/>
    <w:link w:val="2"/>
    <w:semiHidden/>
    <w:qFormat/>
    <w:uiPriority w:val="99"/>
    <w:rPr>
      <w:rFonts w:ascii="仿宋_GB2312" w:hAnsi="新宋体" w:eastAsia="仿宋_GB2312" w:cs="Times New Roman"/>
      <w:sz w:val="18"/>
      <w:szCs w:val="18"/>
    </w:rPr>
  </w:style>
  <w:style w:type="character" w:customStyle="1" w:styleId="10">
    <w:name w:val="页眉 Char"/>
    <w:basedOn w:val="6"/>
    <w:link w:val="4"/>
    <w:semiHidden/>
    <w:qFormat/>
    <w:uiPriority w:val="99"/>
    <w:rPr>
      <w:rFonts w:ascii="仿宋_GB2312" w:hAnsi="新宋体" w:eastAsia="仿宋_GB2312" w:cs="Times New Roman"/>
      <w:sz w:val="18"/>
      <w:szCs w:val="18"/>
    </w:rPr>
  </w:style>
  <w:style w:type="character" w:customStyle="1" w:styleId="11">
    <w:name w:val="页脚 Char"/>
    <w:basedOn w:val="6"/>
    <w:link w:val="3"/>
    <w:qFormat/>
    <w:uiPriority w:val="99"/>
    <w:rPr>
      <w:rFonts w:ascii="仿宋_GB2312" w:hAnsi="新宋体"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ustomXml" Target="ink/ink2.xml"/><Relationship Id="rId7" Type="http://schemas.openxmlformats.org/officeDocument/2006/relationships/image" Target="media/image2.png"/><Relationship Id="rId6" Type="http://schemas.openxmlformats.org/officeDocument/2006/relationships/customXml" Target="ink/ink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3-06-29T18:10:39"/>
    </inkml:context>
    <inkml:brush xml:id="br0">
      <inkml:brushProperty name="width" value="0.05292" units="cm"/>
      <inkml:brushProperty name="height" value="0.05292" units="cm"/>
      <inkml:brushProperty name="color" value="#000000"/>
      <inkml:brushProperty name="ignorePressure" value="0"/>
    </inkml:brush>
  </inkml:definitions>
  <inkml:trace contextRef="#ctx0" brushRef="#br0">19846 130842,'0'0</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3-06-29T18:10:25"/>
    </inkml:context>
    <inkml:brush xml:id="br0">
      <inkml:brushProperty name="width" value="0.05292" units="cm"/>
      <inkml:brushProperty name="height" value="0.05292" units="cm"/>
      <inkml:brushProperty name="color" value="#000000"/>
      <inkml:brushProperty name="ignorePressure" value="0"/>
    </inkml:brush>
  </inkml:definitions>
  <inkml:trace contextRef="#ctx0" brushRef="#br0">11296 132417,'0'0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764</Words>
  <Characters>4356</Characters>
  <Lines>36</Lines>
  <Paragraphs>10</Paragraphs>
  <TotalTime>15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2017-07-31T06:46:00Z</dcterms:created>
  <dc:creator>M4650</dc:creator>
  <cp:lastModifiedBy>Administrator</cp:lastModifiedBy>
  <cp:lastPrinted>2023-06-29T06:43:09Z</cp:lastPrinted>
  <dcterms:modified xsi:type="dcterms:W3CDTF">2023-06-29T11:27:06Z</dcterms:modified>
  <dc:title>附件2-1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9F6C05BA660147479333DB18E2D4A178</vt:lpwstr>
  </property>
</Properties>
</file>